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2F25" w:rsidRPr="002A2F25" w:rsidRDefault="002A2F25" w:rsidP="002A2F25">
      <w:pPr>
        <w:rPr>
          <w:rFonts w:ascii="Arial" w:hAnsi="Arial" w:cs="Arial"/>
          <w:b/>
          <w:bCs/>
          <w:sz w:val="22"/>
        </w:rPr>
      </w:pPr>
      <w:r w:rsidRPr="002A2F25">
        <w:rPr>
          <w:rFonts w:ascii="Arial" w:hAnsi="Arial" w:cs="Arial"/>
          <w:b/>
          <w:bCs/>
          <w:sz w:val="22"/>
        </w:rPr>
        <w:t>3GPP TSG RAN WG1 Mee</w:t>
      </w:r>
      <w:r w:rsidR="00830195">
        <w:rPr>
          <w:rFonts w:ascii="Arial" w:hAnsi="Arial" w:cs="Arial"/>
          <w:b/>
          <w:bCs/>
          <w:sz w:val="22"/>
        </w:rPr>
        <w:t xml:space="preserve">ting </w:t>
      </w:r>
      <w:r w:rsidR="004D76E8">
        <w:rPr>
          <w:rFonts w:ascii="Arial" w:hAnsi="Arial" w:cs="Arial"/>
          <w:b/>
          <w:bCs/>
          <w:sz w:val="22"/>
        </w:rPr>
        <w:t>#96bis</w:t>
      </w:r>
      <w:r w:rsidR="0076249C">
        <w:rPr>
          <w:rFonts w:ascii="Arial" w:hAnsi="Arial" w:cs="Arial"/>
          <w:b/>
          <w:bCs/>
          <w:sz w:val="22"/>
        </w:rPr>
        <w:tab/>
      </w:r>
      <w:r w:rsidR="0076249C">
        <w:rPr>
          <w:rFonts w:ascii="Arial" w:hAnsi="Arial" w:cs="Arial"/>
          <w:b/>
          <w:bCs/>
          <w:sz w:val="22"/>
        </w:rPr>
        <w:tab/>
      </w:r>
      <w:r w:rsidR="00683AFF">
        <w:rPr>
          <w:rFonts w:ascii="Arial" w:hAnsi="Arial" w:cs="Arial"/>
          <w:b/>
          <w:bCs/>
          <w:sz w:val="22"/>
        </w:rPr>
        <w:tab/>
      </w:r>
      <w:r w:rsidR="007A7868">
        <w:rPr>
          <w:rFonts w:ascii="Arial" w:hAnsi="Arial" w:cs="Arial"/>
          <w:b/>
          <w:bCs/>
          <w:sz w:val="22"/>
        </w:rPr>
        <w:tab/>
      </w:r>
      <w:r w:rsidR="007A7868">
        <w:rPr>
          <w:rFonts w:ascii="Arial" w:hAnsi="Arial" w:cs="Arial"/>
          <w:b/>
          <w:bCs/>
          <w:sz w:val="22"/>
        </w:rPr>
        <w:tab/>
      </w:r>
      <w:r w:rsidR="00C433C7">
        <w:rPr>
          <w:rFonts w:ascii="Arial" w:hAnsi="Arial" w:cs="Arial"/>
          <w:b/>
          <w:bCs/>
          <w:sz w:val="22"/>
        </w:rPr>
        <w:tab/>
      </w:r>
      <w:r w:rsidR="00830195">
        <w:rPr>
          <w:rFonts w:ascii="Arial" w:hAnsi="Arial" w:cs="Arial"/>
          <w:b/>
          <w:bCs/>
          <w:sz w:val="22"/>
        </w:rPr>
        <w:tab/>
        <w:t>R1-</w:t>
      </w:r>
      <w:r w:rsidR="00DD4871" w:rsidRPr="00DD4871">
        <w:rPr>
          <w:rFonts w:ascii="Arial" w:hAnsi="Arial" w:cs="Arial"/>
          <w:b/>
          <w:bCs/>
          <w:sz w:val="22"/>
        </w:rPr>
        <w:t>1</w:t>
      </w:r>
      <w:r w:rsidR="002D0281">
        <w:rPr>
          <w:rFonts w:ascii="Arial" w:hAnsi="Arial" w:cs="Arial"/>
          <w:b/>
          <w:bCs/>
          <w:sz w:val="22"/>
        </w:rPr>
        <w:t>90</w:t>
      </w:r>
      <w:r w:rsidR="00F313CC">
        <w:rPr>
          <w:rFonts w:ascii="Arial" w:hAnsi="Arial" w:cs="Arial"/>
          <w:b/>
          <w:bCs/>
          <w:sz w:val="22"/>
        </w:rPr>
        <w:t>57</w:t>
      </w:r>
      <w:r w:rsidR="000878DD">
        <w:rPr>
          <w:rFonts w:ascii="Arial" w:hAnsi="Arial" w:cs="Arial"/>
          <w:b/>
          <w:bCs/>
          <w:sz w:val="22"/>
        </w:rPr>
        <w:t>80</w:t>
      </w:r>
    </w:p>
    <w:p w:rsidR="00FB1416" w:rsidRDefault="001F233F" w:rsidP="002A2F25">
      <w:pPr>
        <w:rPr>
          <w:rFonts w:ascii="Arial" w:hAnsi="Arial" w:cs="Arial"/>
          <w:b/>
          <w:bCs/>
          <w:sz w:val="22"/>
        </w:rPr>
      </w:pPr>
      <w:r>
        <w:rPr>
          <w:rFonts w:ascii="Arial" w:hAnsi="Arial" w:cs="Arial"/>
          <w:b/>
          <w:bCs/>
          <w:sz w:val="22"/>
        </w:rPr>
        <w:t>Xi’an</w:t>
      </w:r>
      <w:r w:rsidR="00683AFF" w:rsidRPr="00683AFF">
        <w:rPr>
          <w:rFonts w:ascii="Arial" w:hAnsi="Arial" w:cs="Arial"/>
          <w:b/>
          <w:bCs/>
          <w:sz w:val="22"/>
        </w:rPr>
        <w:t xml:space="preserve">, </w:t>
      </w:r>
      <w:r>
        <w:rPr>
          <w:rFonts w:ascii="Arial" w:hAnsi="Arial" w:cs="Arial"/>
          <w:b/>
          <w:bCs/>
          <w:sz w:val="22"/>
        </w:rPr>
        <w:t>China,</w:t>
      </w:r>
      <w:r w:rsidR="00683AFF" w:rsidRPr="00683AFF">
        <w:rPr>
          <w:rFonts w:ascii="Arial" w:hAnsi="Arial" w:cs="Arial"/>
          <w:b/>
          <w:bCs/>
          <w:sz w:val="22"/>
        </w:rPr>
        <w:t xml:space="preserve"> </w:t>
      </w:r>
      <w:r>
        <w:rPr>
          <w:rFonts w:ascii="Arial" w:hAnsi="Arial" w:cs="Arial"/>
          <w:b/>
          <w:bCs/>
          <w:sz w:val="22"/>
        </w:rPr>
        <w:t>April</w:t>
      </w:r>
      <w:r w:rsidR="00683AFF" w:rsidRPr="00683AFF">
        <w:rPr>
          <w:rFonts w:ascii="Arial" w:hAnsi="Arial" w:cs="Arial"/>
          <w:b/>
          <w:bCs/>
          <w:sz w:val="22"/>
        </w:rPr>
        <w:t xml:space="preserve"> </w:t>
      </w:r>
      <w:r>
        <w:rPr>
          <w:rFonts w:ascii="Arial" w:hAnsi="Arial" w:cs="Arial"/>
          <w:b/>
          <w:bCs/>
          <w:sz w:val="22"/>
        </w:rPr>
        <w:t>8</w:t>
      </w:r>
      <w:r w:rsidR="00683AFF" w:rsidRPr="00683AFF">
        <w:rPr>
          <w:rFonts w:ascii="Arial" w:hAnsi="Arial" w:cs="Arial"/>
          <w:b/>
          <w:bCs/>
          <w:sz w:val="22"/>
        </w:rPr>
        <w:t xml:space="preserve"> - 1</w:t>
      </w:r>
      <w:r>
        <w:rPr>
          <w:rFonts w:ascii="Arial" w:hAnsi="Arial" w:cs="Arial"/>
          <w:b/>
          <w:bCs/>
          <w:sz w:val="22"/>
        </w:rPr>
        <w:t>2</w:t>
      </w:r>
      <w:r w:rsidR="00683AFF" w:rsidRPr="00683AFF">
        <w:rPr>
          <w:rFonts w:ascii="Arial" w:hAnsi="Arial" w:cs="Arial"/>
          <w:b/>
          <w:bCs/>
          <w:sz w:val="22"/>
        </w:rPr>
        <w:t>, 201</w:t>
      </w:r>
      <w:r>
        <w:rPr>
          <w:rFonts w:ascii="Arial" w:hAnsi="Arial" w:cs="Arial"/>
          <w:b/>
          <w:bCs/>
          <w:sz w:val="22"/>
        </w:rPr>
        <w:t>9</w:t>
      </w:r>
    </w:p>
    <w:p w:rsidR="00683AFF" w:rsidRDefault="00683AFF" w:rsidP="002A2F25">
      <w:pPr>
        <w:rPr>
          <w:rFonts w:ascii="Arial" w:hAnsi="Arial" w:cs="Arial"/>
        </w:rPr>
      </w:pPr>
    </w:p>
    <w:p w:rsidR="00602A6B" w:rsidRPr="00830195" w:rsidRDefault="00602A6B">
      <w:pPr>
        <w:spacing w:after="60"/>
        <w:ind w:left="1985" w:hanging="1985"/>
        <w:rPr>
          <w:rFonts w:ascii="Arial" w:hAnsi="Arial" w:cs="Arial"/>
          <w:b/>
          <w:bCs/>
        </w:rPr>
      </w:pPr>
      <w:r>
        <w:rPr>
          <w:rFonts w:ascii="Arial" w:hAnsi="Arial" w:cs="Arial"/>
          <w:b/>
        </w:rPr>
        <w:t>Title:</w:t>
      </w:r>
      <w:r>
        <w:rPr>
          <w:rFonts w:ascii="Arial" w:hAnsi="Arial" w:cs="Arial"/>
          <w:b/>
        </w:rPr>
        <w:tab/>
      </w:r>
      <w:r w:rsidR="0065144E" w:rsidRPr="0065144E">
        <w:rPr>
          <w:rFonts w:ascii="Arial" w:hAnsi="Arial" w:cs="Arial"/>
          <w:b/>
        </w:rPr>
        <w:t>Reply LS on NR mobility enhancements</w:t>
      </w:r>
    </w:p>
    <w:p w:rsidR="00602A6B" w:rsidRPr="00830195" w:rsidRDefault="00602A6B">
      <w:pPr>
        <w:spacing w:after="60"/>
        <w:ind w:left="1985" w:hanging="1985"/>
        <w:rPr>
          <w:rFonts w:ascii="Arial" w:hAnsi="Arial" w:cs="Arial"/>
          <w:bCs/>
        </w:rPr>
      </w:pPr>
      <w:r>
        <w:rPr>
          <w:rFonts w:ascii="Arial" w:hAnsi="Arial" w:cs="Arial"/>
          <w:b/>
        </w:rPr>
        <w:t>Response to:</w:t>
      </w:r>
      <w:r>
        <w:rPr>
          <w:rFonts w:ascii="Arial" w:hAnsi="Arial" w:cs="Arial"/>
          <w:bCs/>
        </w:rPr>
        <w:tab/>
      </w:r>
      <w:r w:rsidR="0065144E">
        <w:rPr>
          <w:rFonts w:ascii="Arial" w:hAnsi="Arial" w:cs="Arial"/>
          <w:bCs/>
        </w:rPr>
        <w:t>R1-1903863 (R2-</w:t>
      </w:r>
      <w:r w:rsidR="00DE6790">
        <w:rPr>
          <w:rFonts w:ascii="Arial" w:hAnsi="Arial" w:cs="Arial"/>
          <w:bCs/>
        </w:rPr>
        <w:t>1902745</w:t>
      </w:r>
      <w:r w:rsidR="0065144E">
        <w:rPr>
          <w:rFonts w:ascii="Arial" w:hAnsi="Arial" w:cs="Arial"/>
          <w:bCs/>
        </w:rPr>
        <w:t>)</w:t>
      </w:r>
    </w:p>
    <w:p w:rsidR="00602A6B" w:rsidRDefault="00602A6B">
      <w:pPr>
        <w:spacing w:after="60"/>
        <w:ind w:left="1985" w:hanging="1985"/>
        <w:rPr>
          <w:rFonts w:ascii="Arial" w:hAnsi="Arial" w:cs="Arial"/>
          <w:bCs/>
        </w:rPr>
      </w:pPr>
      <w:r>
        <w:rPr>
          <w:rFonts w:ascii="Arial" w:hAnsi="Arial" w:cs="Arial"/>
          <w:b/>
        </w:rPr>
        <w:t>Release:</w:t>
      </w:r>
      <w:r>
        <w:rPr>
          <w:rFonts w:ascii="Arial" w:hAnsi="Arial" w:cs="Arial"/>
          <w:bCs/>
        </w:rPr>
        <w:tab/>
      </w:r>
      <w:r w:rsidR="005F4CCE">
        <w:rPr>
          <w:rFonts w:ascii="Arial" w:hAnsi="Arial" w:cs="Arial"/>
          <w:bCs/>
        </w:rPr>
        <w:t>Rel-1</w:t>
      </w:r>
      <w:r w:rsidR="00D47564">
        <w:rPr>
          <w:rFonts w:ascii="Arial" w:hAnsi="Arial" w:cs="Arial"/>
          <w:bCs/>
        </w:rPr>
        <w:t>5</w:t>
      </w:r>
    </w:p>
    <w:p w:rsidR="00602A6B" w:rsidRPr="00AC212F" w:rsidRDefault="00602A6B">
      <w:pPr>
        <w:spacing w:after="60"/>
        <w:ind w:left="1985" w:hanging="1985"/>
        <w:rPr>
          <w:rFonts w:ascii="Arial" w:hAnsi="Arial" w:cs="Arial"/>
          <w:bCs/>
        </w:rPr>
      </w:pPr>
      <w:r>
        <w:rPr>
          <w:rFonts w:ascii="Arial" w:hAnsi="Arial" w:cs="Arial"/>
          <w:b/>
        </w:rPr>
        <w:t>Work Item:</w:t>
      </w:r>
      <w:r>
        <w:rPr>
          <w:rFonts w:ascii="Arial" w:hAnsi="Arial" w:cs="Arial"/>
          <w:bCs/>
        </w:rPr>
        <w:tab/>
      </w:r>
      <w:r w:rsidR="00D47564" w:rsidRPr="00D47564">
        <w:rPr>
          <w:rFonts w:ascii="Arial" w:hAnsi="Arial" w:cs="Arial"/>
          <w:bCs/>
        </w:rPr>
        <w:t>NR_newRAT-Core</w:t>
      </w:r>
    </w:p>
    <w:p w:rsidR="00602A6B" w:rsidRDefault="00602A6B">
      <w:pPr>
        <w:spacing w:after="60"/>
        <w:ind w:left="1985" w:hanging="1985"/>
        <w:rPr>
          <w:rFonts w:ascii="Arial" w:hAnsi="Arial" w:cs="Arial"/>
          <w:b/>
        </w:rPr>
      </w:pPr>
    </w:p>
    <w:p w:rsidR="00602A6B" w:rsidRDefault="00602A6B">
      <w:pPr>
        <w:spacing w:after="60"/>
        <w:ind w:left="1985" w:hanging="1985"/>
        <w:rPr>
          <w:rFonts w:ascii="Arial" w:hAnsi="Arial" w:cs="Arial"/>
          <w:bCs/>
        </w:rPr>
      </w:pPr>
      <w:r w:rsidRPr="00503AF3">
        <w:rPr>
          <w:rFonts w:ascii="Arial" w:hAnsi="Arial" w:cs="Arial"/>
          <w:b/>
        </w:rPr>
        <w:t>Source:</w:t>
      </w:r>
      <w:r w:rsidRPr="00503AF3">
        <w:rPr>
          <w:rFonts w:ascii="Arial" w:hAnsi="Arial" w:cs="Arial"/>
          <w:bCs/>
          <w:color w:val="FF0000"/>
        </w:rPr>
        <w:tab/>
      </w:r>
      <w:r w:rsidR="00FE68B4" w:rsidRPr="00BD5DB6">
        <w:rPr>
          <w:rFonts w:ascii="Arial" w:hAnsi="Arial" w:cs="Arial"/>
          <w:bCs/>
        </w:rPr>
        <w:t>R</w:t>
      </w:r>
      <w:r w:rsidR="00EB318F" w:rsidRPr="00BD5DB6">
        <w:rPr>
          <w:rFonts w:ascii="Arial" w:hAnsi="Arial" w:cs="Arial"/>
          <w:bCs/>
        </w:rPr>
        <w:t>AN1</w:t>
      </w:r>
    </w:p>
    <w:p w:rsidR="00602A6B" w:rsidRDefault="00602A6B">
      <w:pPr>
        <w:spacing w:after="60"/>
        <w:ind w:left="1985" w:hanging="1985"/>
        <w:rPr>
          <w:rFonts w:ascii="Arial" w:hAnsi="Arial" w:cs="Arial"/>
          <w:bCs/>
        </w:rPr>
      </w:pPr>
      <w:r>
        <w:rPr>
          <w:rFonts w:ascii="Arial" w:hAnsi="Arial" w:cs="Arial"/>
          <w:b/>
        </w:rPr>
        <w:t>To:</w:t>
      </w:r>
      <w:r>
        <w:rPr>
          <w:rFonts w:ascii="Arial" w:hAnsi="Arial" w:cs="Arial"/>
          <w:bCs/>
        </w:rPr>
        <w:tab/>
      </w:r>
      <w:r w:rsidR="004155CD">
        <w:rPr>
          <w:rFonts w:ascii="Arial" w:hAnsi="Arial" w:cs="Arial"/>
          <w:bCs/>
        </w:rPr>
        <w:t>RAN2</w:t>
      </w:r>
    </w:p>
    <w:p w:rsidR="00602A6B" w:rsidRDefault="00602A6B">
      <w:pPr>
        <w:spacing w:after="60"/>
        <w:ind w:left="1985" w:hanging="1985"/>
        <w:rPr>
          <w:rFonts w:ascii="Arial" w:hAnsi="Arial" w:cs="Arial"/>
          <w:bCs/>
        </w:rPr>
      </w:pPr>
      <w:r>
        <w:rPr>
          <w:rFonts w:ascii="Arial" w:hAnsi="Arial" w:cs="Arial"/>
          <w:b/>
        </w:rPr>
        <w:t>Cc:</w:t>
      </w:r>
      <w:r>
        <w:rPr>
          <w:rFonts w:ascii="Arial" w:hAnsi="Arial" w:cs="Arial"/>
          <w:bCs/>
        </w:rPr>
        <w:tab/>
      </w:r>
      <w:r w:rsidR="006E21B8">
        <w:rPr>
          <w:rFonts w:ascii="Arial" w:hAnsi="Arial" w:cs="Arial"/>
          <w:bCs/>
        </w:rPr>
        <w:t>RAN4</w:t>
      </w:r>
    </w:p>
    <w:p w:rsidR="00602A6B" w:rsidRDefault="00602A6B">
      <w:pPr>
        <w:spacing w:after="60"/>
        <w:ind w:left="1985" w:hanging="1985"/>
        <w:rPr>
          <w:rFonts w:ascii="Arial" w:hAnsi="Arial" w:cs="Arial"/>
          <w:bCs/>
        </w:rPr>
      </w:pPr>
    </w:p>
    <w:p w:rsidR="00602A6B" w:rsidRDefault="00602A6B">
      <w:pPr>
        <w:tabs>
          <w:tab w:val="left" w:pos="2268"/>
        </w:tabs>
        <w:rPr>
          <w:rFonts w:ascii="Arial" w:hAnsi="Arial" w:cs="Arial"/>
          <w:bCs/>
        </w:rPr>
      </w:pPr>
      <w:r>
        <w:rPr>
          <w:rFonts w:ascii="Arial" w:hAnsi="Arial" w:cs="Arial"/>
          <w:b/>
        </w:rPr>
        <w:t>Contact Person:</w:t>
      </w:r>
      <w:r>
        <w:rPr>
          <w:rFonts w:ascii="Arial" w:hAnsi="Arial" w:cs="Arial"/>
          <w:bCs/>
        </w:rPr>
        <w:tab/>
      </w:r>
    </w:p>
    <w:p w:rsidR="00602A6B" w:rsidRDefault="00602A6B">
      <w:pPr>
        <w:pStyle w:val="Heading4"/>
        <w:tabs>
          <w:tab w:val="left" w:pos="2268"/>
        </w:tabs>
        <w:ind w:left="567"/>
        <w:rPr>
          <w:rFonts w:cs="Arial"/>
          <w:b w:val="0"/>
          <w:bCs/>
        </w:rPr>
      </w:pPr>
      <w:r>
        <w:rPr>
          <w:rFonts w:cs="Arial"/>
        </w:rPr>
        <w:t>Name:</w:t>
      </w:r>
      <w:r>
        <w:rPr>
          <w:rFonts w:cs="Arial"/>
          <w:b w:val="0"/>
          <w:bCs/>
        </w:rPr>
        <w:tab/>
      </w:r>
      <w:r w:rsidR="009D4EF9">
        <w:rPr>
          <w:rFonts w:cs="Arial"/>
          <w:b w:val="0"/>
          <w:bCs/>
        </w:rPr>
        <w:t>Daewon Lee</w:t>
      </w:r>
    </w:p>
    <w:p w:rsidR="00602A6B" w:rsidRPr="00AC212F" w:rsidRDefault="00602A6B">
      <w:pPr>
        <w:pStyle w:val="Heading7"/>
        <w:tabs>
          <w:tab w:val="left" w:pos="2268"/>
        </w:tabs>
        <w:ind w:left="567"/>
        <w:rPr>
          <w:rFonts w:cs="Arial"/>
          <w:b w:val="0"/>
          <w:bCs/>
          <w:color w:val="auto"/>
          <w:lang w:val="it-IT"/>
        </w:rPr>
      </w:pPr>
      <w:r w:rsidRPr="00AC212F">
        <w:rPr>
          <w:rFonts w:cs="Arial"/>
          <w:lang w:val="it-IT"/>
        </w:rPr>
        <w:t>E-mail Address:</w:t>
      </w:r>
      <w:r w:rsidRPr="00AC212F">
        <w:rPr>
          <w:rFonts w:cs="Arial"/>
          <w:b w:val="0"/>
          <w:bCs/>
          <w:lang w:val="it-IT"/>
        </w:rPr>
        <w:tab/>
      </w:r>
      <w:r w:rsidR="009D4EF9">
        <w:rPr>
          <w:rFonts w:cs="Arial"/>
          <w:b w:val="0"/>
          <w:bCs/>
          <w:color w:val="auto"/>
          <w:lang w:val="it-IT"/>
        </w:rPr>
        <w:t>daewon.lee (at) intel (dot) com</w:t>
      </w:r>
    </w:p>
    <w:p w:rsidR="00602A6B" w:rsidRPr="00AC212F" w:rsidRDefault="00602A6B">
      <w:pPr>
        <w:spacing w:after="60"/>
        <w:ind w:left="1985" w:hanging="1985"/>
        <w:rPr>
          <w:rFonts w:ascii="Arial" w:hAnsi="Arial" w:cs="Arial"/>
          <w:b/>
          <w:lang w:val="it-IT"/>
        </w:rPr>
      </w:pPr>
    </w:p>
    <w:p w:rsidR="00602A6B" w:rsidRPr="00605A6C" w:rsidRDefault="00602A6B">
      <w:pPr>
        <w:spacing w:after="60"/>
        <w:ind w:left="1985" w:hanging="1985"/>
        <w:rPr>
          <w:rFonts w:ascii="Arial" w:hAnsi="Arial" w:cs="Arial"/>
          <w:lang w:eastAsia="ja-JP"/>
        </w:rPr>
      </w:pPr>
      <w:r>
        <w:rPr>
          <w:rFonts w:ascii="Arial" w:hAnsi="Arial" w:cs="Arial"/>
          <w:b/>
        </w:rPr>
        <w:t>Attachments:</w:t>
      </w:r>
      <w:r>
        <w:rPr>
          <w:rFonts w:ascii="Arial" w:hAnsi="Arial" w:cs="Arial"/>
          <w:bCs/>
        </w:rPr>
        <w:tab/>
      </w:r>
    </w:p>
    <w:p w:rsidR="00602A6B" w:rsidRDefault="00602A6B">
      <w:pPr>
        <w:pBdr>
          <w:bottom w:val="single" w:sz="4" w:space="1" w:color="auto"/>
        </w:pBdr>
        <w:rPr>
          <w:rFonts w:ascii="Arial" w:hAnsi="Arial" w:cs="Arial"/>
        </w:rPr>
      </w:pPr>
    </w:p>
    <w:p w:rsidR="00602A6B" w:rsidRDefault="00602A6B">
      <w:pPr>
        <w:rPr>
          <w:rFonts w:ascii="Arial" w:hAnsi="Arial" w:cs="Arial"/>
        </w:rPr>
      </w:pPr>
    </w:p>
    <w:p w:rsidR="00602A6B" w:rsidRDefault="00602A6B">
      <w:pPr>
        <w:spacing w:after="120"/>
        <w:rPr>
          <w:rFonts w:ascii="Arial" w:hAnsi="Arial" w:cs="Arial"/>
          <w:b/>
        </w:rPr>
      </w:pPr>
      <w:r>
        <w:rPr>
          <w:rFonts w:ascii="Arial" w:hAnsi="Arial" w:cs="Arial"/>
          <w:b/>
        </w:rPr>
        <w:t>1. Overall Description:</w:t>
      </w:r>
    </w:p>
    <w:p w:rsidR="00904AAE" w:rsidRPr="00AD2564" w:rsidRDefault="00904AAE" w:rsidP="00DF4C2A">
      <w:pPr>
        <w:rPr>
          <w:rFonts w:ascii="Arial" w:hAnsi="Arial" w:cs="Arial"/>
        </w:rPr>
      </w:pPr>
    </w:p>
    <w:p w:rsidR="00AD2564" w:rsidRPr="000878DD" w:rsidRDefault="00AD2564" w:rsidP="00AD2564">
      <w:pPr>
        <w:rPr>
          <w:rFonts w:ascii="Arial" w:hAnsi="Arial" w:cs="Arial"/>
          <w:bCs/>
          <w:lang w:eastAsia="zh-CN"/>
        </w:rPr>
      </w:pPr>
      <w:r w:rsidRPr="000878DD">
        <w:rPr>
          <w:rFonts w:ascii="Arial" w:hAnsi="Arial" w:cs="Arial"/>
          <w:bCs/>
          <w:lang w:eastAsia="zh-CN"/>
        </w:rPr>
        <w:t>RAN1 would like to point out a few key features in NR such as BWP, multiple SCS, multiple waveform</w:t>
      </w:r>
      <w:r w:rsidR="00BD5DB6" w:rsidRPr="000878DD">
        <w:rPr>
          <w:rFonts w:ascii="Arial" w:hAnsi="Arial" w:cs="Arial"/>
          <w:bCs/>
          <w:lang w:eastAsia="zh-CN"/>
        </w:rPr>
        <w:t>s</w:t>
      </w:r>
      <w:r w:rsidRPr="000878DD">
        <w:rPr>
          <w:rFonts w:ascii="Arial" w:hAnsi="Arial" w:cs="Arial"/>
          <w:bCs/>
          <w:lang w:eastAsia="zh-CN"/>
        </w:rPr>
        <w:t xml:space="preserve"> in UL, and operation in FR2, may play a critical role in determination of feasibility of simultaneous transmission and receptions, which is different from LTE.</w:t>
      </w:r>
    </w:p>
    <w:p w:rsidR="00AD2564" w:rsidRPr="000878DD" w:rsidRDefault="00AD2564" w:rsidP="00AD2564">
      <w:pPr>
        <w:rPr>
          <w:rFonts w:ascii="Arial" w:hAnsi="Arial" w:cs="Arial"/>
          <w:bCs/>
          <w:lang w:eastAsia="zh-CN"/>
        </w:rPr>
      </w:pPr>
    </w:p>
    <w:p w:rsidR="00AD2564" w:rsidRPr="000878DD" w:rsidRDefault="00AD2564" w:rsidP="00AD2564">
      <w:pPr>
        <w:rPr>
          <w:rFonts w:ascii="Arial" w:hAnsi="Arial" w:cs="Arial"/>
          <w:bCs/>
          <w:lang w:eastAsia="zh-CN"/>
        </w:rPr>
      </w:pPr>
      <w:r w:rsidRPr="000878DD">
        <w:rPr>
          <w:rFonts w:ascii="Arial" w:hAnsi="Arial" w:cs="Arial"/>
          <w:bCs/>
          <w:lang w:eastAsia="zh-CN"/>
        </w:rPr>
        <w:t>The following table summarize feasibility input from RAN1 on the various deployment scenarios.</w:t>
      </w:r>
    </w:p>
    <w:p w:rsidR="00AD2564" w:rsidRPr="00AD2564" w:rsidRDefault="00AD2564" w:rsidP="00AD2564">
      <w:pPr>
        <w:rPr>
          <w:rFonts w:ascii="Arial" w:hAnsi="Arial" w:cs="Arial"/>
          <w:bCs/>
          <w:sz w:val="22"/>
          <w:szCs w:val="22"/>
          <w:lang w:eastAsia="zh-CN"/>
        </w:rPr>
      </w:pPr>
    </w:p>
    <w:tbl>
      <w:tblPr>
        <w:tblW w:w="9869" w:type="dxa"/>
        <w:tblInd w:w="93" w:type="dxa"/>
        <w:tblLayout w:type="fixed"/>
        <w:tblLook w:val="04A0" w:firstRow="1" w:lastRow="0" w:firstColumn="1" w:lastColumn="0" w:noHBand="0" w:noVBand="1"/>
      </w:tblPr>
      <w:tblGrid>
        <w:gridCol w:w="1072"/>
        <w:gridCol w:w="1080"/>
        <w:gridCol w:w="1080"/>
        <w:gridCol w:w="990"/>
        <w:gridCol w:w="1260"/>
        <w:gridCol w:w="4387"/>
      </w:tblGrid>
      <w:tr w:rsidR="00AD2564" w:rsidRPr="00AD2564" w:rsidTr="002324B5">
        <w:trPr>
          <w:trHeight w:val="326"/>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b/>
                <w:color w:val="000000"/>
                <w:sz w:val="16"/>
                <w:szCs w:val="22"/>
                <w:lang w:eastAsia="zh-CN"/>
              </w:rPr>
            </w:pPr>
            <w:r w:rsidRPr="00AD2564">
              <w:rPr>
                <w:rFonts w:ascii="Arial" w:hAnsi="Arial" w:cs="Arial"/>
                <w:b/>
                <w:color w:val="000000"/>
                <w:sz w:val="16"/>
                <w:szCs w:val="22"/>
                <w:lang w:eastAsia="zh-CN"/>
              </w:rPr>
              <w:t>Source Cell Frequency Range</w:t>
            </w:r>
          </w:p>
        </w:tc>
        <w:tc>
          <w:tcPr>
            <w:tcW w:w="1080" w:type="dxa"/>
            <w:tcBorders>
              <w:top w:val="single" w:sz="4" w:space="0" w:color="auto"/>
              <w:left w:val="single" w:sz="4" w:space="0" w:color="auto"/>
              <w:bottom w:val="single" w:sz="4" w:space="0" w:color="auto"/>
              <w:right w:val="single" w:sz="4" w:space="0" w:color="auto"/>
            </w:tcBorders>
            <w:vAlign w:val="center"/>
          </w:tcPr>
          <w:p w:rsidR="00AD2564" w:rsidRPr="00AD2564" w:rsidRDefault="00AD2564" w:rsidP="002324B5">
            <w:pPr>
              <w:jc w:val="center"/>
              <w:rPr>
                <w:rFonts w:ascii="Arial" w:hAnsi="Arial" w:cs="Arial"/>
                <w:b/>
                <w:color w:val="000000"/>
                <w:sz w:val="16"/>
                <w:szCs w:val="22"/>
                <w:lang w:eastAsia="zh-CN"/>
              </w:rPr>
            </w:pPr>
            <w:r w:rsidRPr="00AD2564">
              <w:rPr>
                <w:rFonts w:ascii="Arial" w:hAnsi="Arial" w:cs="Arial"/>
                <w:b/>
                <w:color w:val="000000"/>
                <w:sz w:val="16"/>
                <w:szCs w:val="22"/>
                <w:lang w:eastAsia="zh-CN"/>
              </w:rPr>
              <w:t>Target Cell Frequency Range</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b/>
                <w:color w:val="000000"/>
                <w:sz w:val="16"/>
                <w:szCs w:val="22"/>
                <w:lang w:eastAsia="zh-CN"/>
              </w:rPr>
            </w:pPr>
            <w:r w:rsidRPr="00AD2564">
              <w:rPr>
                <w:rFonts w:ascii="Arial" w:hAnsi="Arial" w:cs="Arial"/>
                <w:b/>
                <w:color w:val="000000"/>
                <w:sz w:val="16"/>
                <w:szCs w:val="22"/>
                <w:lang w:eastAsia="zh-CN"/>
              </w:rPr>
              <w:t xml:space="preserve">Frequency operation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b/>
                <w:color w:val="000000"/>
                <w:sz w:val="16"/>
                <w:szCs w:val="22"/>
                <w:lang w:eastAsia="zh-CN"/>
              </w:rPr>
            </w:pPr>
            <w:r w:rsidRPr="00AD2564">
              <w:rPr>
                <w:rFonts w:ascii="Arial" w:hAnsi="Arial" w:cs="Arial"/>
                <w:b/>
                <w:color w:val="000000"/>
                <w:sz w:val="16"/>
                <w:szCs w:val="22"/>
                <w:lang w:eastAsia="zh-CN"/>
              </w:rPr>
              <w:t xml:space="preserve">Band operation </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b/>
                <w:color w:val="000000"/>
                <w:sz w:val="16"/>
                <w:szCs w:val="22"/>
                <w:lang w:eastAsia="zh-CN"/>
              </w:rPr>
            </w:pPr>
            <w:r w:rsidRPr="00AD2564">
              <w:rPr>
                <w:rFonts w:ascii="Arial" w:hAnsi="Arial" w:cs="Arial"/>
                <w:b/>
                <w:color w:val="000000"/>
                <w:sz w:val="16"/>
                <w:szCs w:val="22"/>
                <w:lang w:eastAsia="zh-CN"/>
              </w:rPr>
              <w:t>Deployment operation</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tcPr>
          <w:p w:rsidR="00AD2564" w:rsidRPr="000878DD" w:rsidRDefault="00AD2564" w:rsidP="002324B5">
            <w:pPr>
              <w:jc w:val="center"/>
              <w:rPr>
                <w:rFonts w:ascii="Arial" w:hAnsi="Arial" w:cs="Arial"/>
                <w:b/>
                <w:color w:val="000000"/>
                <w:szCs w:val="22"/>
                <w:lang w:eastAsia="zh-CN"/>
              </w:rPr>
            </w:pPr>
            <w:r w:rsidRPr="000878DD">
              <w:rPr>
                <w:rFonts w:ascii="Arial" w:hAnsi="Arial" w:cs="Arial"/>
                <w:b/>
                <w:color w:val="000000"/>
                <w:szCs w:val="22"/>
                <w:lang w:eastAsia="zh-CN"/>
              </w:rPr>
              <w:t>Feasibility Input from RAN1</w:t>
            </w:r>
          </w:p>
        </w:tc>
      </w:tr>
      <w:tr w:rsidR="00AD2564" w:rsidRPr="00AD2564" w:rsidTr="00BC6895">
        <w:trPr>
          <w:trHeight w:val="679"/>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FR1</w:t>
            </w:r>
          </w:p>
        </w:tc>
        <w:tc>
          <w:tcPr>
            <w:tcW w:w="1080" w:type="dxa"/>
            <w:tcBorders>
              <w:top w:val="single" w:sz="4" w:space="0" w:color="auto"/>
              <w:left w:val="single" w:sz="4" w:space="0" w:color="auto"/>
              <w:bottom w:val="single" w:sz="4" w:space="0" w:color="auto"/>
              <w:right w:val="single" w:sz="4" w:space="0" w:color="auto"/>
            </w:tcBorders>
            <w:vAlign w:val="center"/>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FR1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Inter-Frequency</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Inter-band</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Synchronous</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0878DD" w:rsidRDefault="00AD2564" w:rsidP="002324B5">
            <w:pPr>
              <w:rPr>
                <w:rFonts w:ascii="Arial" w:hAnsi="Arial" w:cs="Arial"/>
                <w:color w:val="000000"/>
                <w:szCs w:val="22"/>
                <w:lang w:eastAsia="zh-CN"/>
              </w:rPr>
            </w:pPr>
            <w:r w:rsidRPr="000878DD">
              <w:rPr>
                <w:rFonts w:ascii="Arial" w:hAnsi="Arial" w:cs="Arial"/>
                <w:color w:val="000000"/>
                <w:szCs w:val="22"/>
                <w:lang w:eastAsia="zh-CN"/>
              </w:rPr>
              <w:t>Response provided in R2-1900020 (R1-1814411) for LTE is applicable for NR</w:t>
            </w:r>
          </w:p>
        </w:tc>
      </w:tr>
      <w:tr w:rsidR="00AD2564" w:rsidRPr="00AD2564" w:rsidTr="002324B5">
        <w:trPr>
          <w:trHeight w:val="312"/>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FR1</w:t>
            </w:r>
          </w:p>
        </w:tc>
        <w:tc>
          <w:tcPr>
            <w:tcW w:w="1080" w:type="dxa"/>
            <w:tcBorders>
              <w:top w:val="single" w:sz="4" w:space="0" w:color="auto"/>
              <w:left w:val="single" w:sz="4" w:space="0" w:color="auto"/>
              <w:bottom w:val="single" w:sz="4" w:space="0" w:color="auto"/>
              <w:right w:val="single" w:sz="4" w:space="0" w:color="auto"/>
            </w:tcBorders>
            <w:vAlign w:val="center"/>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FR1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Inter-Frequency</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Inter-band</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Asynchronous</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0878DD" w:rsidRDefault="00AD2564" w:rsidP="002324B5">
            <w:pPr>
              <w:rPr>
                <w:rFonts w:ascii="Arial" w:hAnsi="Arial" w:cs="Arial"/>
                <w:color w:val="000000"/>
                <w:szCs w:val="22"/>
                <w:lang w:eastAsia="zh-CN"/>
              </w:rPr>
            </w:pPr>
            <w:r w:rsidRPr="000878DD">
              <w:rPr>
                <w:rFonts w:ascii="Arial" w:hAnsi="Arial" w:cs="Arial"/>
                <w:color w:val="000000"/>
                <w:szCs w:val="22"/>
                <w:lang w:eastAsia="zh-CN"/>
              </w:rPr>
              <w:t>Response provided in R2-1900020 (R1-1814411) for LTE is applicable for NR</w:t>
            </w:r>
          </w:p>
        </w:tc>
      </w:tr>
      <w:tr w:rsidR="00AD2564" w:rsidRPr="00AD2564" w:rsidTr="002324B5">
        <w:trPr>
          <w:trHeight w:val="312"/>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FR1</w:t>
            </w:r>
          </w:p>
        </w:tc>
        <w:tc>
          <w:tcPr>
            <w:tcW w:w="1080" w:type="dxa"/>
            <w:tcBorders>
              <w:top w:val="single" w:sz="4" w:space="0" w:color="auto"/>
              <w:left w:val="single" w:sz="4" w:space="0" w:color="auto"/>
              <w:bottom w:val="single" w:sz="4" w:space="0" w:color="auto"/>
              <w:right w:val="single" w:sz="4" w:space="0" w:color="auto"/>
            </w:tcBorders>
            <w:vAlign w:val="center"/>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FR1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Inter-Frequency</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Intra-band</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Synchronous</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0878DD" w:rsidRDefault="00AD2564" w:rsidP="002324B5">
            <w:pPr>
              <w:rPr>
                <w:rFonts w:ascii="Arial" w:hAnsi="Arial" w:cs="Arial"/>
                <w:color w:val="000000"/>
                <w:szCs w:val="22"/>
                <w:lang w:eastAsia="zh-CN"/>
              </w:rPr>
            </w:pPr>
            <w:r w:rsidRPr="000878DD">
              <w:rPr>
                <w:rFonts w:ascii="Arial" w:hAnsi="Arial" w:cs="Arial"/>
                <w:color w:val="000000"/>
                <w:szCs w:val="22"/>
                <w:lang w:eastAsia="zh-CN"/>
              </w:rPr>
              <w:t>Response provided in R2-1900020 (R1-1814411) for LTE is applicable for NR with following additions.</w:t>
            </w:r>
          </w:p>
          <w:p w:rsidR="00AD2564" w:rsidRPr="000878DD" w:rsidRDefault="00AD2564" w:rsidP="002324B5">
            <w:pPr>
              <w:rPr>
                <w:rFonts w:ascii="Arial" w:hAnsi="Arial" w:cs="Arial"/>
                <w:color w:val="000000"/>
                <w:szCs w:val="22"/>
                <w:lang w:eastAsia="zh-CN"/>
              </w:rPr>
            </w:pPr>
          </w:p>
          <w:p w:rsidR="00AD2564" w:rsidRPr="000878DD" w:rsidRDefault="00AD2564" w:rsidP="002324B5">
            <w:pPr>
              <w:rPr>
                <w:rFonts w:ascii="Arial" w:hAnsi="Arial" w:cs="Arial"/>
                <w:color w:val="000000"/>
                <w:szCs w:val="22"/>
                <w:u w:val="single"/>
                <w:lang w:eastAsia="zh-CN"/>
              </w:rPr>
            </w:pPr>
            <w:r w:rsidRPr="000878DD">
              <w:rPr>
                <w:rFonts w:ascii="Arial" w:hAnsi="Arial" w:cs="Arial"/>
                <w:color w:val="000000"/>
                <w:szCs w:val="22"/>
                <w:u w:val="single"/>
                <w:lang w:eastAsia="zh-CN"/>
              </w:rPr>
              <w:t>Simultaneous Tx:</w:t>
            </w:r>
          </w:p>
          <w:p w:rsidR="00AD2564" w:rsidRPr="000878DD" w:rsidRDefault="00AD2564" w:rsidP="002324B5">
            <w:pPr>
              <w:rPr>
                <w:rFonts w:ascii="Arial" w:hAnsi="Arial" w:cs="Arial"/>
                <w:color w:val="000000"/>
                <w:szCs w:val="22"/>
                <w:lang w:eastAsia="zh-CN"/>
              </w:rPr>
            </w:pPr>
            <w:r w:rsidRPr="000878DD">
              <w:rPr>
                <w:rFonts w:ascii="Arial" w:hAnsi="Arial" w:cs="Arial"/>
                <w:color w:val="000000"/>
                <w:szCs w:val="22"/>
                <w:lang w:eastAsia="zh-CN"/>
              </w:rPr>
              <w:t xml:space="preserve">If the UEs performs transmission with single Tx chain for this band combination, simultaneous transmission may be only possible if the transmit timing of the two cells is within the MTTD requirement,  and configured with same subcarrier spacing (SCS) and with same uplink waveform. For UEs that support different SCS in CA (i.e. </w:t>
            </w:r>
            <w:r w:rsidRPr="000878DD">
              <w:rPr>
                <w:rFonts w:ascii="Arial" w:hAnsi="Arial" w:cs="Arial"/>
                <w:i/>
                <w:color w:val="000000"/>
                <w:szCs w:val="22"/>
                <w:lang w:eastAsia="zh-CN"/>
              </w:rPr>
              <w:t>supportedSubCarrierSpacingUL</w:t>
            </w:r>
            <w:r w:rsidRPr="000878DD">
              <w:rPr>
                <w:rFonts w:ascii="Arial" w:hAnsi="Arial" w:cs="Arial"/>
                <w:color w:val="000000"/>
                <w:szCs w:val="22"/>
                <w:lang w:eastAsia="zh-CN"/>
              </w:rPr>
              <w:t xml:space="preserve"> capability), simultaneous transmission may be possible even if the SCS of the two cells are different. </w:t>
            </w:r>
          </w:p>
          <w:p w:rsidR="00AD2564" w:rsidRPr="000878DD" w:rsidRDefault="00AD2564" w:rsidP="002324B5">
            <w:pPr>
              <w:rPr>
                <w:rFonts w:ascii="Arial" w:hAnsi="Arial" w:cs="Arial"/>
                <w:color w:val="000000"/>
                <w:szCs w:val="22"/>
                <w:lang w:eastAsia="zh-CN"/>
              </w:rPr>
            </w:pPr>
          </w:p>
          <w:p w:rsidR="00AD2564" w:rsidRPr="000878DD" w:rsidRDefault="00AD2564" w:rsidP="002324B5">
            <w:pPr>
              <w:rPr>
                <w:rFonts w:ascii="Arial" w:hAnsi="Arial" w:cs="Arial"/>
                <w:color w:val="000000"/>
                <w:szCs w:val="22"/>
                <w:lang w:eastAsia="zh-CN"/>
              </w:rPr>
            </w:pPr>
            <w:r w:rsidRPr="000878DD">
              <w:rPr>
                <w:rFonts w:ascii="Arial" w:hAnsi="Arial" w:cs="Arial"/>
                <w:color w:val="000000"/>
                <w:szCs w:val="22"/>
                <w:lang w:eastAsia="zh-CN"/>
              </w:rPr>
              <w:t>If the UEs performs transmission with dual Tx chains for this band combination, simultaneous transmission may be feasible.</w:t>
            </w:r>
          </w:p>
          <w:p w:rsidR="00AD2564" w:rsidRPr="000878DD" w:rsidRDefault="00AD2564" w:rsidP="002324B5">
            <w:pPr>
              <w:rPr>
                <w:rFonts w:ascii="Arial" w:hAnsi="Arial" w:cs="Arial"/>
                <w:color w:val="000000"/>
                <w:szCs w:val="22"/>
                <w:lang w:eastAsia="zh-CN"/>
              </w:rPr>
            </w:pPr>
          </w:p>
          <w:p w:rsidR="00AD2564" w:rsidRPr="000878DD" w:rsidRDefault="00AD2564" w:rsidP="002324B5">
            <w:pPr>
              <w:rPr>
                <w:rFonts w:ascii="Arial" w:hAnsi="Arial" w:cs="Arial"/>
                <w:color w:val="000000"/>
                <w:szCs w:val="22"/>
                <w:lang w:eastAsia="zh-CN"/>
              </w:rPr>
            </w:pPr>
            <w:r w:rsidRPr="000878DD">
              <w:rPr>
                <w:rFonts w:ascii="Arial" w:hAnsi="Arial" w:cs="Arial"/>
                <w:color w:val="000000"/>
                <w:szCs w:val="22"/>
                <w:lang w:eastAsia="zh-CN"/>
              </w:rPr>
              <w:t xml:space="preserve">In both single Tx  and dual Tx cases, feasibility of simultaneous transmission will be further subject to power control constraints (e.g., </w:t>
            </w:r>
            <w:r w:rsidRPr="000878DD">
              <w:rPr>
                <w:rFonts w:ascii="Arial" w:hAnsi="Arial" w:cs="Arial"/>
                <w:color w:val="000000"/>
                <w:szCs w:val="22"/>
                <w:lang w:eastAsia="zh-CN"/>
              </w:rPr>
              <w:lastRenderedPageBreak/>
              <w:t>maximum transmit power limits, PSD limits different between the cells, etc).</w:t>
            </w:r>
          </w:p>
          <w:p w:rsidR="00AD2564" w:rsidRPr="000878DD" w:rsidRDefault="00AD2564" w:rsidP="002324B5">
            <w:pPr>
              <w:rPr>
                <w:rFonts w:ascii="Arial" w:hAnsi="Arial" w:cs="Arial"/>
                <w:color w:val="000000"/>
                <w:szCs w:val="22"/>
                <w:lang w:eastAsia="zh-CN"/>
              </w:rPr>
            </w:pPr>
          </w:p>
          <w:p w:rsidR="00AD2564" w:rsidRPr="000878DD" w:rsidRDefault="00AD2564" w:rsidP="002324B5">
            <w:pPr>
              <w:rPr>
                <w:rFonts w:ascii="Arial" w:hAnsi="Arial" w:cs="Arial"/>
                <w:color w:val="000000"/>
                <w:szCs w:val="22"/>
                <w:u w:val="single"/>
                <w:lang w:eastAsia="zh-CN"/>
              </w:rPr>
            </w:pPr>
            <w:r w:rsidRPr="000878DD">
              <w:rPr>
                <w:rFonts w:ascii="Arial" w:hAnsi="Arial" w:cs="Arial"/>
                <w:color w:val="000000"/>
                <w:szCs w:val="22"/>
                <w:u w:val="single"/>
                <w:lang w:eastAsia="zh-CN"/>
              </w:rPr>
              <w:t>Simultaneous Rx:</w:t>
            </w:r>
          </w:p>
          <w:p w:rsidR="00AD2564" w:rsidRPr="000878DD" w:rsidRDefault="00AD2564" w:rsidP="002324B5">
            <w:pPr>
              <w:rPr>
                <w:rFonts w:ascii="Arial" w:hAnsi="Arial" w:cs="Arial"/>
                <w:color w:val="000000"/>
                <w:szCs w:val="22"/>
                <w:lang w:eastAsia="zh-CN"/>
              </w:rPr>
            </w:pPr>
            <w:r w:rsidRPr="000878DD">
              <w:rPr>
                <w:rFonts w:ascii="Arial" w:hAnsi="Arial" w:cs="Arial"/>
                <w:color w:val="000000"/>
                <w:szCs w:val="22"/>
                <w:lang w:eastAsia="zh-CN"/>
              </w:rPr>
              <w:t xml:space="preserve">Simultaneous reception from two cell may be feasible if the SCS is the same between the two cells. For UEs that support different SCS in CA (i.e. </w:t>
            </w:r>
            <w:r w:rsidRPr="000878DD">
              <w:rPr>
                <w:rFonts w:ascii="Arial" w:hAnsi="Arial" w:cs="Arial"/>
                <w:i/>
                <w:color w:val="000000"/>
                <w:szCs w:val="22"/>
                <w:lang w:eastAsia="zh-CN"/>
              </w:rPr>
              <w:t>supportedSubCarrierSpacingDL</w:t>
            </w:r>
            <w:r w:rsidRPr="000878DD">
              <w:rPr>
                <w:rFonts w:ascii="Arial" w:hAnsi="Arial" w:cs="Arial"/>
                <w:color w:val="000000"/>
                <w:szCs w:val="22"/>
                <w:lang w:eastAsia="zh-CN"/>
              </w:rPr>
              <w:t xml:space="preserve"> capability), simultaneous reception may be feasible even if the SCS of the two cells are different.</w:t>
            </w:r>
          </w:p>
          <w:p w:rsidR="00AD2564" w:rsidRPr="000878DD" w:rsidRDefault="00AD2564" w:rsidP="002324B5">
            <w:pPr>
              <w:rPr>
                <w:rFonts w:ascii="Arial" w:hAnsi="Arial" w:cs="Arial"/>
                <w:color w:val="000000"/>
                <w:szCs w:val="22"/>
                <w:lang w:eastAsia="zh-CN"/>
              </w:rPr>
            </w:pPr>
          </w:p>
          <w:p w:rsidR="00AD2564" w:rsidRPr="000878DD" w:rsidRDefault="00AD2564" w:rsidP="002324B5">
            <w:pPr>
              <w:rPr>
                <w:rFonts w:ascii="Arial" w:hAnsi="Arial" w:cs="Arial"/>
                <w:color w:val="000000"/>
                <w:szCs w:val="22"/>
                <w:lang w:eastAsia="zh-CN"/>
              </w:rPr>
            </w:pPr>
            <w:r w:rsidRPr="000878DD">
              <w:rPr>
                <w:rFonts w:ascii="Arial" w:hAnsi="Arial" w:cs="Arial"/>
                <w:color w:val="000000"/>
                <w:szCs w:val="22"/>
                <w:lang w:eastAsia="zh-CN"/>
              </w:rPr>
              <w:t>In addition, BWP configurations of the two cells may play a role in determining feasibility for this case. RAN1 will further investigate on how BWP impacts feasibility for simultaneous transmission and reception.</w:t>
            </w:r>
          </w:p>
        </w:tc>
      </w:tr>
      <w:tr w:rsidR="00AD2564" w:rsidRPr="00AD2564" w:rsidTr="002324B5">
        <w:trPr>
          <w:trHeight w:val="312"/>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lastRenderedPageBreak/>
              <w:t>FR1</w:t>
            </w:r>
          </w:p>
        </w:tc>
        <w:tc>
          <w:tcPr>
            <w:tcW w:w="1080" w:type="dxa"/>
            <w:tcBorders>
              <w:top w:val="single" w:sz="4" w:space="0" w:color="auto"/>
              <w:left w:val="single" w:sz="4" w:space="0" w:color="auto"/>
              <w:bottom w:val="single" w:sz="4" w:space="0" w:color="auto"/>
              <w:right w:val="single" w:sz="4" w:space="0" w:color="auto"/>
            </w:tcBorders>
            <w:vAlign w:val="center"/>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FR1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Inter-Frequency</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Intra-band</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Asynchronous</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0878DD" w:rsidRDefault="00AD2564" w:rsidP="002324B5">
            <w:pPr>
              <w:rPr>
                <w:rFonts w:ascii="Arial" w:hAnsi="Arial" w:cs="Arial"/>
                <w:color w:val="000000"/>
                <w:szCs w:val="22"/>
                <w:lang w:eastAsia="zh-CN"/>
              </w:rPr>
            </w:pPr>
            <w:r w:rsidRPr="000878DD">
              <w:rPr>
                <w:rFonts w:ascii="Arial" w:hAnsi="Arial" w:cs="Arial"/>
                <w:color w:val="000000"/>
                <w:szCs w:val="22"/>
                <w:lang w:eastAsia="zh-CN"/>
              </w:rPr>
              <w:t>RAN1 has not concluded on the feasibility of simultaneous transmission and reception for this case.</w:t>
            </w:r>
          </w:p>
        </w:tc>
      </w:tr>
      <w:tr w:rsidR="00AD2564" w:rsidRPr="00AD2564" w:rsidTr="002324B5">
        <w:trPr>
          <w:trHeight w:val="70"/>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FR1</w:t>
            </w:r>
          </w:p>
        </w:tc>
        <w:tc>
          <w:tcPr>
            <w:tcW w:w="1080" w:type="dxa"/>
            <w:tcBorders>
              <w:top w:val="single" w:sz="4" w:space="0" w:color="auto"/>
              <w:left w:val="single" w:sz="4" w:space="0" w:color="auto"/>
              <w:bottom w:val="single" w:sz="4" w:space="0" w:color="auto"/>
              <w:right w:val="single" w:sz="4" w:space="0" w:color="auto"/>
            </w:tcBorders>
            <w:vAlign w:val="center"/>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FR1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Intra-Frequency</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Intra-band</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Synchronous or Asynchronous</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0878DD" w:rsidRDefault="00AD2564" w:rsidP="002324B5">
            <w:pPr>
              <w:rPr>
                <w:rFonts w:ascii="Arial" w:hAnsi="Arial" w:cs="Arial"/>
                <w:color w:val="000000"/>
                <w:szCs w:val="22"/>
                <w:lang w:eastAsia="zh-CN"/>
              </w:rPr>
            </w:pPr>
            <w:r w:rsidRPr="000878DD">
              <w:rPr>
                <w:rFonts w:ascii="Arial" w:hAnsi="Arial" w:cs="Arial"/>
                <w:color w:val="000000"/>
                <w:szCs w:val="22"/>
                <w:lang w:eastAsia="zh-CN"/>
              </w:rPr>
              <w:t xml:space="preserve">Response provided in R2-1900020 (R1-1814411) for LTE is applicable for NR when the two cells are configured for the UE with the same SCS, same waveform (i.e. CP-OFDM or DFT-s-OFDM), and same SSB center frequency. It may be possible that some UEs support simultaneous transmission and reception even if two cells are configured with different SCS. </w:t>
            </w:r>
          </w:p>
          <w:p w:rsidR="00AD2564" w:rsidRPr="000878DD" w:rsidRDefault="00AD2564" w:rsidP="002324B5">
            <w:pPr>
              <w:rPr>
                <w:rFonts w:ascii="Arial" w:hAnsi="Arial" w:cs="Arial"/>
                <w:color w:val="000000"/>
                <w:szCs w:val="22"/>
                <w:lang w:eastAsia="zh-CN"/>
              </w:rPr>
            </w:pPr>
          </w:p>
          <w:p w:rsidR="00AD2564" w:rsidRPr="000878DD" w:rsidRDefault="00AD2564" w:rsidP="002324B5">
            <w:pPr>
              <w:rPr>
                <w:rFonts w:ascii="Arial" w:hAnsi="Arial" w:cs="Arial"/>
                <w:color w:val="000000"/>
                <w:szCs w:val="22"/>
                <w:lang w:eastAsia="zh-CN"/>
              </w:rPr>
            </w:pPr>
            <w:r w:rsidRPr="000878DD">
              <w:rPr>
                <w:rFonts w:ascii="Arial" w:hAnsi="Arial" w:cs="Arial"/>
                <w:color w:val="000000"/>
                <w:szCs w:val="22"/>
                <w:lang w:eastAsia="zh-CN"/>
              </w:rPr>
              <w:t xml:space="preserve">It should be noted that common PRB grid between the two cells must be aligned in order for simultaneous transmission and reception to be feasible for both synchronous and asynchronous cases. </w:t>
            </w:r>
          </w:p>
          <w:p w:rsidR="00AD2564" w:rsidRPr="000878DD" w:rsidRDefault="00AD2564" w:rsidP="002324B5">
            <w:pPr>
              <w:rPr>
                <w:rFonts w:ascii="Arial" w:hAnsi="Arial" w:cs="Arial"/>
                <w:color w:val="000000"/>
                <w:szCs w:val="22"/>
                <w:lang w:eastAsia="zh-CN"/>
              </w:rPr>
            </w:pPr>
          </w:p>
          <w:p w:rsidR="00AD2564" w:rsidRPr="000878DD" w:rsidRDefault="00AD2564" w:rsidP="002324B5">
            <w:pPr>
              <w:rPr>
                <w:rFonts w:ascii="Arial" w:hAnsi="Arial" w:cs="Arial"/>
                <w:color w:val="000000"/>
                <w:szCs w:val="22"/>
                <w:lang w:eastAsia="zh-CN"/>
              </w:rPr>
            </w:pPr>
            <w:r w:rsidRPr="000878DD">
              <w:rPr>
                <w:rFonts w:ascii="Arial" w:hAnsi="Arial" w:cs="Arial"/>
                <w:color w:val="000000"/>
                <w:szCs w:val="22"/>
                <w:lang w:eastAsia="zh-CN"/>
              </w:rPr>
              <w:t xml:space="preserve">In addition, BWP configurations of the two cells may play a role in determining feasibility for this case. RAN1 will further investigate on how BWP impacts feasibility for simultaneous transmission and reception. </w:t>
            </w:r>
          </w:p>
        </w:tc>
      </w:tr>
      <w:tr w:rsidR="00AD2564" w:rsidRPr="00AD2564" w:rsidTr="002324B5">
        <w:trPr>
          <w:trHeight w:val="1248"/>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FR2</w:t>
            </w:r>
          </w:p>
        </w:tc>
        <w:tc>
          <w:tcPr>
            <w:tcW w:w="1080" w:type="dxa"/>
            <w:tcBorders>
              <w:top w:val="single" w:sz="4" w:space="0" w:color="auto"/>
              <w:left w:val="single" w:sz="4" w:space="0" w:color="auto"/>
              <w:bottom w:val="single" w:sz="4" w:space="0" w:color="auto"/>
              <w:right w:val="single" w:sz="4" w:space="0" w:color="auto"/>
            </w:tcBorders>
            <w:vAlign w:val="center"/>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FR2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Intra-Frequency</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Intra-band</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AD2564" w:rsidRPr="00AD2564" w:rsidRDefault="00AD2564" w:rsidP="002324B5">
            <w:pPr>
              <w:jc w:val="center"/>
              <w:rPr>
                <w:rFonts w:ascii="Arial" w:hAnsi="Arial" w:cs="Arial"/>
                <w:color w:val="000000"/>
                <w:sz w:val="16"/>
                <w:szCs w:val="18"/>
                <w:lang w:eastAsia="zh-CN"/>
              </w:rPr>
            </w:pPr>
            <w:r w:rsidRPr="00AD2564">
              <w:rPr>
                <w:rFonts w:ascii="Arial" w:hAnsi="Arial" w:cs="Arial"/>
                <w:color w:val="000000"/>
                <w:sz w:val="16"/>
                <w:szCs w:val="18"/>
                <w:lang w:eastAsia="zh-CN"/>
              </w:rPr>
              <w:t>Synchronous</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tcPr>
          <w:p w:rsidR="00AD2564" w:rsidRPr="000878DD" w:rsidRDefault="00AD2564" w:rsidP="002324B5">
            <w:pPr>
              <w:rPr>
                <w:rFonts w:ascii="Arial" w:hAnsi="Arial" w:cs="Arial"/>
                <w:color w:val="000000"/>
                <w:szCs w:val="22"/>
                <w:lang w:eastAsia="zh-CN"/>
              </w:rPr>
            </w:pPr>
            <w:r w:rsidRPr="000878DD">
              <w:rPr>
                <w:rFonts w:ascii="Arial" w:hAnsi="Arial" w:cs="Arial"/>
                <w:color w:val="000000"/>
                <w:szCs w:val="22"/>
                <w:lang w:eastAsia="zh-CN"/>
              </w:rPr>
              <w:t>Response provided in R2-1900020 (R1-1814411) for LTE is NOT applicable for NR FR2 and RAN1 has not concluded on the feasibility of simultaneous transmission and reception for this case.</w:t>
            </w:r>
          </w:p>
        </w:tc>
      </w:tr>
      <w:tr w:rsidR="00AD2564" w:rsidRPr="00AD2564" w:rsidTr="002324B5">
        <w:trPr>
          <w:trHeight w:val="639"/>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8"/>
                <w:szCs w:val="18"/>
                <w:lang w:eastAsia="zh-CN"/>
              </w:rPr>
            </w:pPr>
            <w:r w:rsidRPr="00AD2564">
              <w:rPr>
                <w:rFonts w:ascii="Arial" w:hAnsi="Arial" w:cs="Arial"/>
                <w:color w:val="000000"/>
                <w:sz w:val="18"/>
                <w:szCs w:val="18"/>
                <w:lang w:eastAsia="zh-CN"/>
              </w:rPr>
              <w:t>FR2</w:t>
            </w:r>
          </w:p>
        </w:tc>
        <w:tc>
          <w:tcPr>
            <w:tcW w:w="1080" w:type="dxa"/>
            <w:tcBorders>
              <w:top w:val="single" w:sz="4" w:space="0" w:color="auto"/>
              <w:left w:val="single" w:sz="4" w:space="0" w:color="auto"/>
              <w:bottom w:val="single" w:sz="4" w:space="0" w:color="auto"/>
              <w:right w:val="single" w:sz="4" w:space="0" w:color="auto"/>
            </w:tcBorders>
            <w:vAlign w:val="center"/>
          </w:tcPr>
          <w:p w:rsidR="00AD2564" w:rsidRPr="00AD2564" w:rsidRDefault="00AD2564" w:rsidP="002324B5">
            <w:pPr>
              <w:jc w:val="center"/>
              <w:rPr>
                <w:rFonts w:ascii="Arial" w:hAnsi="Arial" w:cs="Arial"/>
                <w:color w:val="000000"/>
                <w:sz w:val="18"/>
                <w:szCs w:val="18"/>
                <w:lang w:eastAsia="zh-CN"/>
              </w:rPr>
            </w:pPr>
            <w:r w:rsidRPr="00AD2564">
              <w:rPr>
                <w:rFonts w:ascii="Arial" w:hAnsi="Arial" w:cs="Arial"/>
                <w:color w:val="000000"/>
                <w:sz w:val="18"/>
                <w:szCs w:val="18"/>
                <w:lang w:eastAsia="zh-CN"/>
              </w:rPr>
              <w:t>FR2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8"/>
                <w:szCs w:val="18"/>
                <w:lang w:eastAsia="zh-CN"/>
              </w:rPr>
            </w:pPr>
            <w:r w:rsidRPr="00AD2564">
              <w:rPr>
                <w:rFonts w:ascii="Arial" w:hAnsi="Arial" w:cs="Arial"/>
                <w:color w:val="000000"/>
                <w:sz w:val="18"/>
                <w:szCs w:val="18"/>
                <w:lang w:eastAsia="zh-CN"/>
              </w:rPr>
              <w:t>Inter-Frequency</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8"/>
                <w:szCs w:val="18"/>
                <w:lang w:eastAsia="zh-CN"/>
              </w:rPr>
            </w:pPr>
            <w:r w:rsidRPr="00AD2564">
              <w:rPr>
                <w:rFonts w:ascii="Arial" w:hAnsi="Arial" w:cs="Arial"/>
                <w:color w:val="000000"/>
                <w:sz w:val="18"/>
                <w:szCs w:val="18"/>
                <w:lang w:eastAsia="zh-CN"/>
              </w:rPr>
              <w:t>Intra-band</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AD2564" w:rsidRDefault="00AD2564" w:rsidP="002324B5">
            <w:pPr>
              <w:jc w:val="center"/>
              <w:rPr>
                <w:rFonts w:ascii="Arial" w:hAnsi="Arial" w:cs="Arial"/>
                <w:color w:val="000000"/>
                <w:sz w:val="18"/>
                <w:szCs w:val="18"/>
                <w:lang w:eastAsia="zh-CN"/>
              </w:rPr>
            </w:pPr>
            <w:r w:rsidRPr="00AD2564">
              <w:rPr>
                <w:rFonts w:ascii="Arial" w:hAnsi="Arial" w:cs="Arial"/>
                <w:color w:val="000000"/>
                <w:sz w:val="18"/>
                <w:szCs w:val="18"/>
                <w:lang w:eastAsia="zh-CN"/>
              </w:rPr>
              <w:t>Synchronous</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2564" w:rsidRPr="000878DD" w:rsidRDefault="00AD2564" w:rsidP="002324B5">
            <w:pPr>
              <w:rPr>
                <w:rFonts w:ascii="Arial" w:hAnsi="Arial" w:cs="Arial"/>
                <w:color w:val="000000"/>
                <w:szCs w:val="22"/>
                <w:lang w:eastAsia="zh-CN"/>
              </w:rPr>
            </w:pPr>
            <w:r w:rsidRPr="000878DD">
              <w:rPr>
                <w:rFonts w:ascii="Arial" w:hAnsi="Arial" w:cs="Arial"/>
                <w:color w:val="000000"/>
                <w:szCs w:val="22"/>
                <w:lang w:eastAsia="zh-CN"/>
              </w:rPr>
              <w:t>Response provided in R2-1900020 (R1-1814411) for LTE is NOT applicable for NR FR2 and RAN1 has not concluded on the feasibility of simultaneous transmission and reception for this case.</w:t>
            </w:r>
          </w:p>
        </w:tc>
      </w:tr>
      <w:tr w:rsidR="00AD2564" w:rsidRPr="00AD2564" w:rsidTr="002324B5">
        <w:trPr>
          <w:trHeight w:val="639"/>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rsidR="00AD2564" w:rsidRPr="00AD2564" w:rsidRDefault="00AD2564" w:rsidP="002324B5">
            <w:pPr>
              <w:jc w:val="center"/>
              <w:rPr>
                <w:rFonts w:ascii="Arial" w:hAnsi="Arial" w:cs="Arial"/>
                <w:color w:val="000000"/>
                <w:sz w:val="18"/>
                <w:szCs w:val="18"/>
                <w:lang w:eastAsia="zh-CN"/>
              </w:rPr>
            </w:pPr>
            <w:r w:rsidRPr="00AD2564">
              <w:rPr>
                <w:rFonts w:ascii="Arial" w:hAnsi="Arial" w:cs="Arial"/>
                <w:color w:val="000000"/>
                <w:sz w:val="18"/>
                <w:szCs w:val="18"/>
                <w:lang w:eastAsia="zh-CN"/>
              </w:rPr>
              <w:t>FR1</w:t>
            </w:r>
          </w:p>
        </w:tc>
        <w:tc>
          <w:tcPr>
            <w:tcW w:w="1080" w:type="dxa"/>
            <w:tcBorders>
              <w:top w:val="single" w:sz="4" w:space="0" w:color="auto"/>
              <w:left w:val="single" w:sz="4" w:space="0" w:color="auto"/>
              <w:bottom w:val="single" w:sz="4" w:space="0" w:color="auto"/>
              <w:right w:val="single" w:sz="4" w:space="0" w:color="auto"/>
            </w:tcBorders>
            <w:vAlign w:val="center"/>
          </w:tcPr>
          <w:p w:rsidR="00AD2564" w:rsidRPr="00AD2564" w:rsidRDefault="00AD2564" w:rsidP="002324B5">
            <w:pPr>
              <w:jc w:val="center"/>
              <w:rPr>
                <w:rFonts w:ascii="Arial" w:hAnsi="Arial" w:cs="Arial"/>
                <w:color w:val="000000"/>
                <w:sz w:val="18"/>
                <w:szCs w:val="18"/>
                <w:lang w:eastAsia="zh-CN"/>
              </w:rPr>
            </w:pPr>
            <w:r w:rsidRPr="00AD2564">
              <w:rPr>
                <w:rFonts w:ascii="Arial" w:hAnsi="Arial" w:cs="Arial"/>
                <w:color w:val="000000"/>
                <w:sz w:val="18"/>
                <w:szCs w:val="18"/>
                <w:lang w:eastAsia="zh-CN"/>
              </w:rPr>
              <w:t>FR2</w:t>
            </w:r>
          </w:p>
        </w:tc>
        <w:tc>
          <w:tcPr>
            <w:tcW w:w="1080" w:type="dxa"/>
            <w:vMerge w:val="restart"/>
            <w:tcBorders>
              <w:top w:val="single" w:sz="4" w:space="0" w:color="auto"/>
              <w:left w:val="single" w:sz="4" w:space="0" w:color="auto"/>
              <w:right w:val="single" w:sz="4" w:space="0" w:color="auto"/>
            </w:tcBorders>
            <w:shd w:val="clear" w:color="auto" w:fill="auto"/>
            <w:vAlign w:val="center"/>
          </w:tcPr>
          <w:p w:rsidR="00AD2564" w:rsidRPr="00AD2564" w:rsidRDefault="00AD2564" w:rsidP="002324B5">
            <w:pPr>
              <w:jc w:val="center"/>
              <w:rPr>
                <w:rFonts w:ascii="Arial" w:hAnsi="Arial" w:cs="Arial"/>
                <w:color w:val="000000"/>
                <w:sz w:val="18"/>
                <w:szCs w:val="18"/>
                <w:lang w:eastAsia="zh-CN"/>
              </w:rPr>
            </w:pPr>
            <w:r w:rsidRPr="00AD2564">
              <w:rPr>
                <w:rFonts w:ascii="Arial" w:hAnsi="Arial" w:cs="Arial"/>
                <w:color w:val="000000"/>
                <w:sz w:val="18"/>
                <w:szCs w:val="18"/>
                <w:lang w:eastAsia="zh-CN"/>
              </w:rPr>
              <w:t>Inter-Frequency</w:t>
            </w:r>
          </w:p>
        </w:tc>
        <w:tc>
          <w:tcPr>
            <w:tcW w:w="990" w:type="dxa"/>
            <w:vMerge w:val="restart"/>
            <w:tcBorders>
              <w:top w:val="single" w:sz="4" w:space="0" w:color="auto"/>
              <w:left w:val="single" w:sz="4" w:space="0" w:color="auto"/>
              <w:right w:val="single" w:sz="4" w:space="0" w:color="auto"/>
            </w:tcBorders>
            <w:shd w:val="clear" w:color="auto" w:fill="auto"/>
            <w:vAlign w:val="center"/>
          </w:tcPr>
          <w:p w:rsidR="00AD2564" w:rsidRPr="00AD2564" w:rsidRDefault="00AD2564" w:rsidP="002324B5">
            <w:pPr>
              <w:jc w:val="center"/>
              <w:rPr>
                <w:rFonts w:ascii="Arial" w:hAnsi="Arial" w:cs="Arial"/>
                <w:color w:val="000000"/>
                <w:sz w:val="18"/>
                <w:szCs w:val="18"/>
                <w:lang w:eastAsia="zh-CN"/>
              </w:rPr>
            </w:pPr>
            <w:r w:rsidRPr="00AD2564">
              <w:rPr>
                <w:rFonts w:ascii="Arial" w:hAnsi="Arial" w:cs="Arial"/>
                <w:color w:val="000000"/>
                <w:sz w:val="18"/>
                <w:szCs w:val="18"/>
                <w:lang w:eastAsia="zh-CN"/>
              </w:rPr>
              <w:t>Inter-band</w:t>
            </w:r>
          </w:p>
        </w:tc>
        <w:tc>
          <w:tcPr>
            <w:tcW w:w="1260" w:type="dxa"/>
            <w:vMerge w:val="restart"/>
            <w:tcBorders>
              <w:top w:val="single" w:sz="4" w:space="0" w:color="auto"/>
              <w:left w:val="single" w:sz="4" w:space="0" w:color="auto"/>
              <w:right w:val="single" w:sz="4" w:space="0" w:color="auto"/>
            </w:tcBorders>
            <w:shd w:val="clear" w:color="auto" w:fill="auto"/>
            <w:vAlign w:val="center"/>
          </w:tcPr>
          <w:p w:rsidR="00AD2564" w:rsidRPr="00AD2564" w:rsidRDefault="00AD2564" w:rsidP="002324B5">
            <w:pPr>
              <w:jc w:val="center"/>
              <w:rPr>
                <w:rFonts w:ascii="Arial" w:hAnsi="Arial" w:cs="Arial"/>
                <w:color w:val="000000"/>
                <w:sz w:val="18"/>
                <w:szCs w:val="18"/>
                <w:lang w:eastAsia="zh-CN"/>
              </w:rPr>
            </w:pPr>
            <w:r w:rsidRPr="00AD2564">
              <w:rPr>
                <w:rFonts w:ascii="Arial" w:hAnsi="Arial" w:cs="Arial"/>
                <w:color w:val="000000"/>
                <w:sz w:val="18"/>
                <w:szCs w:val="18"/>
                <w:lang w:eastAsia="zh-CN"/>
              </w:rPr>
              <w:t>-</w:t>
            </w:r>
          </w:p>
        </w:tc>
        <w:tc>
          <w:tcPr>
            <w:tcW w:w="4387" w:type="dxa"/>
            <w:vMerge w:val="restart"/>
            <w:tcBorders>
              <w:top w:val="single" w:sz="4" w:space="0" w:color="auto"/>
              <w:left w:val="single" w:sz="4" w:space="0" w:color="auto"/>
              <w:right w:val="single" w:sz="4" w:space="0" w:color="auto"/>
            </w:tcBorders>
            <w:shd w:val="clear" w:color="auto" w:fill="auto"/>
            <w:vAlign w:val="center"/>
          </w:tcPr>
          <w:p w:rsidR="00AD2564" w:rsidRPr="000878DD" w:rsidRDefault="00AD2564" w:rsidP="002324B5">
            <w:pPr>
              <w:rPr>
                <w:rFonts w:ascii="Arial" w:hAnsi="Arial" w:cs="Arial"/>
                <w:color w:val="000000"/>
                <w:szCs w:val="22"/>
                <w:lang w:eastAsia="zh-CN"/>
              </w:rPr>
            </w:pPr>
            <w:r w:rsidRPr="000878DD">
              <w:rPr>
                <w:rFonts w:ascii="Arial" w:hAnsi="Arial" w:cs="Arial"/>
                <w:color w:val="000000"/>
                <w:szCs w:val="22"/>
                <w:lang w:eastAsia="zh-CN"/>
              </w:rPr>
              <w:t>Simultaneous transmission and reception may be feasible for UEs supporting CA/DC between FR1 and FR2.</w:t>
            </w:r>
          </w:p>
        </w:tc>
      </w:tr>
      <w:tr w:rsidR="00AD2564" w:rsidRPr="00AD2564" w:rsidTr="002324B5">
        <w:trPr>
          <w:trHeight w:val="639"/>
        </w:trPr>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rsidR="00AD2564" w:rsidRPr="00AD2564" w:rsidRDefault="00AD2564" w:rsidP="002324B5">
            <w:pPr>
              <w:jc w:val="center"/>
              <w:rPr>
                <w:rFonts w:ascii="Arial" w:hAnsi="Arial" w:cs="Arial"/>
                <w:color w:val="000000"/>
                <w:sz w:val="18"/>
                <w:szCs w:val="18"/>
                <w:lang w:eastAsia="zh-CN"/>
              </w:rPr>
            </w:pPr>
            <w:r w:rsidRPr="00AD2564">
              <w:rPr>
                <w:rFonts w:ascii="Arial" w:hAnsi="Arial" w:cs="Arial"/>
                <w:color w:val="000000"/>
                <w:sz w:val="18"/>
                <w:szCs w:val="18"/>
                <w:lang w:eastAsia="zh-CN"/>
              </w:rPr>
              <w:t>FR2</w:t>
            </w:r>
          </w:p>
        </w:tc>
        <w:tc>
          <w:tcPr>
            <w:tcW w:w="1080" w:type="dxa"/>
            <w:tcBorders>
              <w:top w:val="single" w:sz="4" w:space="0" w:color="auto"/>
              <w:left w:val="single" w:sz="4" w:space="0" w:color="auto"/>
              <w:bottom w:val="single" w:sz="4" w:space="0" w:color="auto"/>
              <w:right w:val="single" w:sz="4" w:space="0" w:color="auto"/>
            </w:tcBorders>
            <w:vAlign w:val="center"/>
          </w:tcPr>
          <w:p w:rsidR="00AD2564" w:rsidRPr="00AD2564" w:rsidRDefault="00AD2564" w:rsidP="002324B5">
            <w:pPr>
              <w:jc w:val="center"/>
              <w:rPr>
                <w:rFonts w:ascii="Arial" w:hAnsi="Arial" w:cs="Arial"/>
                <w:color w:val="000000"/>
                <w:sz w:val="18"/>
                <w:szCs w:val="18"/>
                <w:lang w:eastAsia="zh-CN"/>
              </w:rPr>
            </w:pPr>
            <w:r w:rsidRPr="00AD2564">
              <w:rPr>
                <w:rFonts w:ascii="Arial" w:hAnsi="Arial" w:cs="Arial"/>
                <w:color w:val="000000"/>
                <w:sz w:val="18"/>
                <w:szCs w:val="18"/>
                <w:lang w:eastAsia="zh-CN"/>
              </w:rPr>
              <w:t>FR1</w:t>
            </w:r>
          </w:p>
        </w:tc>
        <w:tc>
          <w:tcPr>
            <w:tcW w:w="1080" w:type="dxa"/>
            <w:vMerge/>
            <w:tcBorders>
              <w:left w:val="single" w:sz="4" w:space="0" w:color="auto"/>
              <w:bottom w:val="single" w:sz="4" w:space="0" w:color="auto"/>
              <w:right w:val="single" w:sz="4" w:space="0" w:color="auto"/>
            </w:tcBorders>
            <w:shd w:val="clear" w:color="auto" w:fill="auto"/>
            <w:vAlign w:val="center"/>
          </w:tcPr>
          <w:p w:rsidR="00AD2564" w:rsidRPr="00AD2564" w:rsidRDefault="00AD2564" w:rsidP="002324B5">
            <w:pPr>
              <w:jc w:val="center"/>
              <w:rPr>
                <w:rFonts w:ascii="Arial" w:hAnsi="Arial" w:cs="Arial"/>
                <w:color w:val="000000"/>
                <w:sz w:val="18"/>
                <w:szCs w:val="18"/>
                <w:lang w:eastAsia="zh-CN"/>
              </w:rPr>
            </w:pPr>
          </w:p>
        </w:tc>
        <w:tc>
          <w:tcPr>
            <w:tcW w:w="990" w:type="dxa"/>
            <w:vMerge/>
            <w:tcBorders>
              <w:left w:val="single" w:sz="4" w:space="0" w:color="auto"/>
              <w:bottom w:val="single" w:sz="4" w:space="0" w:color="auto"/>
              <w:right w:val="single" w:sz="4" w:space="0" w:color="auto"/>
            </w:tcBorders>
            <w:shd w:val="clear" w:color="auto" w:fill="auto"/>
            <w:vAlign w:val="center"/>
          </w:tcPr>
          <w:p w:rsidR="00AD2564" w:rsidRPr="00AD2564" w:rsidRDefault="00AD2564" w:rsidP="002324B5">
            <w:pPr>
              <w:jc w:val="center"/>
              <w:rPr>
                <w:rFonts w:ascii="Arial" w:hAnsi="Arial" w:cs="Arial"/>
                <w:color w:val="000000"/>
                <w:sz w:val="18"/>
                <w:szCs w:val="18"/>
                <w:lang w:eastAsia="zh-CN"/>
              </w:rPr>
            </w:pPr>
          </w:p>
        </w:tc>
        <w:tc>
          <w:tcPr>
            <w:tcW w:w="1260" w:type="dxa"/>
            <w:vMerge/>
            <w:tcBorders>
              <w:left w:val="single" w:sz="4" w:space="0" w:color="auto"/>
              <w:bottom w:val="single" w:sz="4" w:space="0" w:color="auto"/>
              <w:right w:val="single" w:sz="4" w:space="0" w:color="auto"/>
            </w:tcBorders>
            <w:shd w:val="clear" w:color="auto" w:fill="auto"/>
            <w:vAlign w:val="center"/>
          </w:tcPr>
          <w:p w:rsidR="00AD2564" w:rsidRPr="00AD2564" w:rsidRDefault="00AD2564" w:rsidP="002324B5">
            <w:pPr>
              <w:jc w:val="center"/>
              <w:rPr>
                <w:rFonts w:ascii="Arial" w:hAnsi="Arial" w:cs="Arial"/>
                <w:color w:val="000000"/>
                <w:sz w:val="18"/>
                <w:szCs w:val="18"/>
                <w:lang w:eastAsia="zh-CN"/>
              </w:rPr>
            </w:pPr>
          </w:p>
        </w:tc>
        <w:tc>
          <w:tcPr>
            <w:tcW w:w="4387" w:type="dxa"/>
            <w:vMerge/>
            <w:tcBorders>
              <w:left w:val="single" w:sz="4" w:space="0" w:color="auto"/>
              <w:bottom w:val="single" w:sz="4" w:space="0" w:color="auto"/>
              <w:right w:val="single" w:sz="4" w:space="0" w:color="auto"/>
            </w:tcBorders>
            <w:shd w:val="clear" w:color="auto" w:fill="auto"/>
            <w:vAlign w:val="center"/>
          </w:tcPr>
          <w:p w:rsidR="00AD2564" w:rsidRPr="00AD2564" w:rsidRDefault="00AD2564" w:rsidP="002324B5">
            <w:pPr>
              <w:rPr>
                <w:rFonts w:ascii="Arial" w:hAnsi="Arial" w:cs="Arial"/>
                <w:color w:val="000000"/>
                <w:sz w:val="22"/>
                <w:szCs w:val="22"/>
                <w:lang w:eastAsia="zh-CN"/>
              </w:rPr>
            </w:pPr>
          </w:p>
        </w:tc>
      </w:tr>
    </w:tbl>
    <w:p w:rsidR="00AD2564" w:rsidRPr="00AD2564" w:rsidRDefault="00AD2564" w:rsidP="00AD2564">
      <w:pPr>
        <w:rPr>
          <w:rFonts w:ascii="Arial" w:hAnsi="Arial" w:cs="Arial"/>
          <w:bCs/>
          <w:sz w:val="22"/>
          <w:szCs w:val="22"/>
          <w:lang w:eastAsia="zh-CN"/>
        </w:rPr>
      </w:pPr>
    </w:p>
    <w:p w:rsidR="00AD2564" w:rsidRPr="000878DD" w:rsidRDefault="00AD2564" w:rsidP="00AD2564">
      <w:pPr>
        <w:rPr>
          <w:rFonts w:ascii="Arial" w:hAnsi="Arial" w:cs="Arial"/>
          <w:bCs/>
          <w:lang w:eastAsia="zh-CN"/>
        </w:rPr>
      </w:pPr>
      <w:r w:rsidRPr="000878DD">
        <w:rPr>
          <w:rFonts w:ascii="Arial" w:hAnsi="Arial" w:cs="Arial"/>
          <w:bCs/>
          <w:lang w:eastAsia="zh-CN"/>
        </w:rPr>
        <w:t xml:space="preserve">From RAN1 understanding asynchronous TDD in FR1 and asynchronous intra-frequency intra-band or </w:t>
      </w:r>
      <w:r w:rsidR="00BD5DB6" w:rsidRPr="000878DD">
        <w:rPr>
          <w:rFonts w:ascii="Arial" w:hAnsi="Arial" w:cs="Arial"/>
          <w:bCs/>
          <w:lang w:eastAsia="zh-CN"/>
        </w:rPr>
        <w:t xml:space="preserve">asynchronous </w:t>
      </w:r>
      <w:r w:rsidRPr="000878DD">
        <w:rPr>
          <w:rFonts w:ascii="Arial" w:hAnsi="Arial" w:cs="Arial"/>
          <w:bCs/>
          <w:lang w:eastAsia="zh-CN"/>
        </w:rPr>
        <w:t>inter-frequency intra-band in FR2 are not currently supported in NR. Additionally, inter-frequency inter-band CA in FR2 is also not currently supported in NR. Therefore, no input on feasibility for these cases are provided.</w:t>
      </w:r>
    </w:p>
    <w:p w:rsidR="00AD2564" w:rsidRPr="000878DD" w:rsidRDefault="00AD2564" w:rsidP="00AD2564">
      <w:pPr>
        <w:rPr>
          <w:rFonts w:ascii="Arial" w:hAnsi="Arial" w:cs="Arial"/>
          <w:bCs/>
          <w:lang w:eastAsia="zh-CN"/>
        </w:rPr>
      </w:pPr>
    </w:p>
    <w:p w:rsidR="00AD2564" w:rsidRPr="000878DD" w:rsidRDefault="00AD2564" w:rsidP="00AD2564">
      <w:pPr>
        <w:rPr>
          <w:rFonts w:ascii="Arial" w:hAnsi="Arial" w:cs="Arial"/>
          <w:bCs/>
          <w:lang w:eastAsia="zh-CN"/>
        </w:rPr>
      </w:pPr>
      <w:r w:rsidRPr="000878DD">
        <w:rPr>
          <w:rFonts w:ascii="Arial" w:hAnsi="Arial" w:cs="Arial"/>
          <w:bCs/>
          <w:lang w:eastAsia="zh-CN"/>
        </w:rPr>
        <w:lastRenderedPageBreak/>
        <w:t>It should be noted that feasibility of simultaneous transmission and reception for each case mentioned is only possible if the UE supports such band combination as part of CA and/or DC. For all scenarios, the feasibility inputs are to be confirmed by RAN4 taking into account aspects such as AGC, PSD/power difference, MPR/A-MPR, carrier frequency separation, etc.</w:t>
      </w:r>
    </w:p>
    <w:p w:rsidR="00AD2564" w:rsidRPr="000878DD" w:rsidRDefault="00AD2564" w:rsidP="00AD2564">
      <w:pPr>
        <w:rPr>
          <w:rFonts w:ascii="Arial" w:hAnsi="Arial" w:cs="Arial"/>
          <w:bCs/>
          <w:lang w:eastAsia="zh-CN"/>
        </w:rPr>
      </w:pPr>
    </w:p>
    <w:p w:rsidR="00AD2564" w:rsidRPr="000878DD" w:rsidRDefault="00AD2564" w:rsidP="00AD2564">
      <w:pPr>
        <w:rPr>
          <w:rFonts w:ascii="Arial" w:hAnsi="Arial" w:cs="Arial"/>
          <w:iCs/>
        </w:rPr>
      </w:pPr>
      <w:r w:rsidRPr="000878DD">
        <w:rPr>
          <w:rFonts w:ascii="Arial" w:hAnsi="Arial" w:cs="Arial"/>
          <w:iCs/>
        </w:rPr>
        <w:t>Some UE resources may need to be released in the source gNB (e.g. number of CC/bands/MIMO layers) to support simultaneous Tx/Rx with target gNB.</w:t>
      </w:r>
    </w:p>
    <w:p w:rsidR="00AD2564" w:rsidRPr="000878DD" w:rsidRDefault="00AD2564" w:rsidP="00AD2564">
      <w:pPr>
        <w:rPr>
          <w:rFonts w:ascii="Arial" w:hAnsi="Arial" w:cs="Arial"/>
          <w:iCs/>
        </w:rPr>
      </w:pPr>
    </w:p>
    <w:p w:rsidR="00AD2564" w:rsidRPr="000878DD" w:rsidRDefault="00AD2564" w:rsidP="00AD2564">
      <w:pPr>
        <w:rPr>
          <w:rFonts w:ascii="Arial" w:hAnsi="Arial" w:cs="Arial"/>
          <w:bCs/>
          <w:lang w:eastAsia="zh-CN"/>
        </w:rPr>
      </w:pPr>
      <w:r w:rsidRPr="000878DD">
        <w:rPr>
          <w:rFonts w:ascii="Arial" w:hAnsi="Arial" w:cs="Arial"/>
          <w:bCs/>
          <w:lang w:eastAsia="zh-CN"/>
        </w:rPr>
        <w:t xml:space="preserve">Lastly, it should be understood that feasibility of simultaneous transmission and reception does not imply that all UEs could support such functionality and is </w:t>
      </w:r>
      <w:r w:rsidR="000878DD" w:rsidRPr="000878DD">
        <w:rPr>
          <w:rFonts w:ascii="Arial" w:hAnsi="Arial" w:cs="Arial"/>
          <w:bCs/>
          <w:lang w:eastAsia="zh-CN"/>
        </w:rPr>
        <w:t>subject to further discussion</w:t>
      </w:r>
      <w:r w:rsidRPr="000878DD">
        <w:rPr>
          <w:rFonts w:ascii="Arial" w:hAnsi="Arial" w:cs="Arial"/>
          <w:bCs/>
          <w:lang w:eastAsia="zh-CN"/>
        </w:rPr>
        <w:t>.</w:t>
      </w:r>
    </w:p>
    <w:p w:rsidR="00AD2564" w:rsidRPr="000878DD" w:rsidRDefault="00AD2564" w:rsidP="00AD2564">
      <w:pPr>
        <w:pStyle w:val="BodyText"/>
        <w:rPr>
          <w:lang w:eastAsia="zh-CN"/>
        </w:rPr>
      </w:pPr>
    </w:p>
    <w:p w:rsidR="00AD2564" w:rsidRPr="000878DD" w:rsidRDefault="00AD2564" w:rsidP="00AD2564">
      <w:pPr>
        <w:pStyle w:val="BodyText"/>
        <w:rPr>
          <w:color w:val="auto"/>
          <w:lang w:eastAsia="zh-CN"/>
        </w:rPr>
      </w:pPr>
      <w:r w:rsidRPr="000878DD">
        <w:rPr>
          <w:color w:val="auto"/>
          <w:lang w:eastAsia="zh-CN"/>
        </w:rPr>
        <w:t>RAN1’s previous response to LTE in R2-1900020 (R1-1814411) is copied in the appendix for reference.</w:t>
      </w:r>
    </w:p>
    <w:p w:rsidR="00D11067" w:rsidRPr="000878DD" w:rsidRDefault="00D11067" w:rsidP="00D11067">
      <w:pPr>
        <w:pStyle w:val="BodyText"/>
        <w:rPr>
          <w:color w:val="000000"/>
          <w:lang w:eastAsia="zh-CN"/>
        </w:rPr>
      </w:pPr>
    </w:p>
    <w:p w:rsidR="0065144E" w:rsidRPr="000878DD" w:rsidRDefault="0065144E" w:rsidP="00DF4C2A">
      <w:pPr>
        <w:rPr>
          <w:rFonts w:ascii="Arial" w:hAnsi="Arial" w:cs="Arial"/>
        </w:rPr>
      </w:pPr>
    </w:p>
    <w:p w:rsidR="00424D93" w:rsidRPr="000878DD" w:rsidRDefault="0054748F" w:rsidP="00DF4C2A">
      <w:pPr>
        <w:rPr>
          <w:rFonts w:ascii="Arial" w:hAnsi="Arial" w:cs="Arial"/>
        </w:rPr>
      </w:pPr>
      <w:r>
        <w:rPr>
          <w:rFonts w:ascii="Arial" w:hAnsi="Arial" w:cs="Arial"/>
        </w:rPr>
        <w:t>RAN1 would like</w:t>
      </w:r>
      <w:r w:rsidR="00BD5DB6" w:rsidRPr="000878DD">
        <w:rPr>
          <w:rFonts w:ascii="Arial" w:hAnsi="Arial" w:cs="Arial"/>
        </w:rPr>
        <w:t xml:space="preserve"> </w:t>
      </w:r>
      <w:r w:rsidR="0012167A" w:rsidRPr="000878DD">
        <w:rPr>
          <w:rFonts w:ascii="Arial" w:hAnsi="Arial" w:cs="Arial"/>
        </w:rPr>
        <w:t>kindly</w:t>
      </w:r>
      <w:r>
        <w:rPr>
          <w:rFonts w:ascii="Arial" w:hAnsi="Arial" w:cs="Arial"/>
        </w:rPr>
        <w:t xml:space="preserve"> to</w:t>
      </w:r>
      <w:r w:rsidR="0012167A" w:rsidRPr="000878DD">
        <w:rPr>
          <w:rFonts w:ascii="Arial" w:hAnsi="Arial" w:cs="Arial"/>
        </w:rPr>
        <w:t xml:space="preserve"> ask RAN2 to consider the above in their further work.</w:t>
      </w:r>
    </w:p>
    <w:p w:rsidR="0012167A" w:rsidRPr="000878DD" w:rsidRDefault="0012167A" w:rsidP="00DF4C2A">
      <w:pPr>
        <w:rPr>
          <w:rFonts w:ascii="Arial" w:hAnsi="Arial" w:cs="Arial"/>
        </w:rPr>
      </w:pPr>
    </w:p>
    <w:p w:rsidR="00EE6084" w:rsidRDefault="00EE6084">
      <w:pPr>
        <w:pStyle w:val="Header"/>
        <w:tabs>
          <w:tab w:val="clear" w:pos="4153"/>
          <w:tab w:val="clear" w:pos="8306"/>
        </w:tabs>
        <w:rPr>
          <w:rFonts w:ascii="Arial" w:hAnsi="Arial" w:cs="Arial"/>
        </w:rPr>
      </w:pPr>
    </w:p>
    <w:p w:rsidR="00602A6B" w:rsidRDefault="00602A6B">
      <w:pPr>
        <w:spacing w:after="120"/>
        <w:rPr>
          <w:rFonts w:ascii="Arial" w:hAnsi="Arial" w:cs="Arial"/>
          <w:b/>
        </w:rPr>
      </w:pPr>
      <w:r>
        <w:rPr>
          <w:rFonts w:ascii="Arial" w:hAnsi="Arial" w:cs="Arial"/>
          <w:b/>
        </w:rPr>
        <w:t>2. Actions:</w:t>
      </w:r>
    </w:p>
    <w:p w:rsidR="00654A2E" w:rsidRDefault="00592F26" w:rsidP="00B273A1">
      <w:pPr>
        <w:spacing w:after="120"/>
        <w:ind w:left="1134" w:hanging="1134"/>
        <w:jc w:val="both"/>
        <w:rPr>
          <w:rFonts w:ascii="Arial" w:hAnsi="Arial" w:cs="Arial"/>
          <w:lang w:eastAsia="ja-JP"/>
        </w:rPr>
      </w:pPr>
      <w:r>
        <w:rPr>
          <w:rFonts w:ascii="Arial" w:hAnsi="Arial" w:cs="Arial"/>
          <w:b/>
        </w:rPr>
        <w:t>To RAN</w:t>
      </w:r>
      <w:r w:rsidR="005545F3">
        <w:rPr>
          <w:rFonts w:ascii="Arial" w:hAnsi="Arial" w:cs="Arial"/>
          <w:b/>
        </w:rPr>
        <w:t>2</w:t>
      </w:r>
      <w:r>
        <w:rPr>
          <w:rFonts w:ascii="Arial" w:hAnsi="Arial" w:cs="Arial"/>
          <w:b/>
        </w:rPr>
        <w:t xml:space="preserve">: </w:t>
      </w:r>
      <w:r>
        <w:rPr>
          <w:rFonts w:ascii="Arial" w:hAnsi="Arial" w:cs="Arial"/>
          <w:b/>
        </w:rPr>
        <w:tab/>
      </w:r>
      <w:r w:rsidR="00EE6084">
        <w:rPr>
          <w:rFonts w:ascii="Arial" w:hAnsi="Arial" w:cs="Arial"/>
        </w:rPr>
        <w:t xml:space="preserve">RAN1 would like kindly </w:t>
      </w:r>
      <w:r w:rsidR="0054748F">
        <w:rPr>
          <w:rFonts w:ascii="Arial" w:hAnsi="Arial" w:cs="Arial"/>
        </w:rPr>
        <w:t xml:space="preserve">to </w:t>
      </w:r>
      <w:r w:rsidR="00EE6084">
        <w:rPr>
          <w:rFonts w:ascii="Arial" w:hAnsi="Arial" w:cs="Arial"/>
        </w:rPr>
        <w:t>ask RAN</w:t>
      </w:r>
      <w:r w:rsidR="008740BB">
        <w:rPr>
          <w:rFonts w:ascii="Arial" w:hAnsi="Arial" w:cs="Arial"/>
        </w:rPr>
        <w:t>2</w:t>
      </w:r>
      <w:r w:rsidR="0012167A">
        <w:rPr>
          <w:rFonts w:ascii="Arial" w:hAnsi="Arial" w:cs="Arial"/>
        </w:rPr>
        <w:t xml:space="preserve"> </w:t>
      </w:r>
      <w:r w:rsidR="00EE6084">
        <w:rPr>
          <w:rFonts w:ascii="Arial" w:hAnsi="Arial" w:cs="Arial"/>
        </w:rPr>
        <w:t>to consider the above in their further work.</w:t>
      </w:r>
      <w:bookmarkStart w:id="0" w:name="_GoBack"/>
      <w:bookmarkEnd w:id="0"/>
    </w:p>
    <w:p w:rsidR="00602A6B" w:rsidRDefault="00602A6B">
      <w:pPr>
        <w:spacing w:after="120"/>
        <w:ind w:left="993" w:hanging="993"/>
        <w:rPr>
          <w:rFonts w:ascii="Arial" w:hAnsi="Arial" w:cs="Arial"/>
        </w:rPr>
      </w:pPr>
    </w:p>
    <w:p w:rsidR="00602A6B" w:rsidRDefault="00602A6B">
      <w:pPr>
        <w:spacing w:after="120"/>
        <w:rPr>
          <w:rFonts w:ascii="Arial" w:hAnsi="Arial" w:cs="Arial"/>
          <w:b/>
        </w:rPr>
      </w:pPr>
      <w:r>
        <w:rPr>
          <w:rFonts w:ascii="Arial" w:hAnsi="Arial" w:cs="Arial"/>
          <w:b/>
        </w:rPr>
        <w:t>3. Date of Next TSG-</w:t>
      </w:r>
      <w:r w:rsidR="00CB3D5B">
        <w:rPr>
          <w:rFonts w:ascii="Arial" w:hAnsi="Arial" w:cs="Arial"/>
          <w:b/>
        </w:rPr>
        <w:t>RAN WG</w:t>
      </w:r>
      <w:r w:rsidR="00EB318F">
        <w:rPr>
          <w:rFonts w:ascii="Arial" w:hAnsi="Arial" w:cs="Arial"/>
          <w:b/>
        </w:rPr>
        <w:t>1</w:t>
      </w:r>
      <w:r>
        <w:rPr>
          <w:rFonts w:ascii="Arial" w:hAnsi="Arial" w:cs="Arial"/>
          <w:b/>
        </w:rPr>
        <w:t xml:space="preserve"> Meetings:</w:t>
      </w:r>
    </w:p>
    <w:p w:rsidR="0012167A" w:rsidRDefault="0012167A" w:rsidP="0012167A">
      <w:pPr>
        <w:tabs>
          <w:tab w:val="left" w:pos="4111"/>
        </w:tabs>
        <w:spacing w:after="120"/>
        <w:ind w:left="2268" w:hanging="2268"/>
        <w:rPr>
          <w:rFonts w:ascii="Arial" w:hAnsi="Arial" w:cs="Arial"/>
          <w:bCs/>
        </w:rPr>
      </w:pPr>
      <w:r>
        <w:rPr>
          <w:rFonts w:ascii="Arial" w:hAnsi="Arial" w:cs="Arial"/>
          <w:bCs/>
        </w:rPr>
        <w:t xml:space="preserve">TSG-RAN WG1 Meeting </w:t>
      </w:r>
      <w:r w:rsidR="0065144E">
        <w:rPr>
          <w:rFonts w:ascii="Arial" w:hAnsi="Arial" w:cs="Arial"/>
          <w:bCs/>
        </w:rPr>
        <w:t>#97</w:t>
      </w:r>
      <w:r>
        <w:rPr>
          <w:rFonts w:ascii="Arial" w:hAnsi="Arial" w:cs="Arial"/>
          <w:bCs/>
        </w:rPr>
        <w:t xml:space="preserve"> </w:t>
      </w:r>
      <w:r>
        <w:rPr>
          <w:rFonts w:ascii="Arial" w:hAnsi="Arial" w:cs="Arial"/>
          <w:bCs/>
        </w:rPr>
        <w:tab/>
      </w:r>
      <w:r w:rsidR="0065144E">
        <w:rPr>
          <w:rFonts w:ascii="Arial" w:hAnsi="Arial" w:cs="Arial"/>
          <w:bCs/>
        </w:rPr>
        <w:t>13</w:t>
      </w:r>
      <w:r>
        <w:rPr>
          <w:rFonts w:ascii="Arial" w:hAnsi="Arial" w:cs="Arial"/>
          <w:bCs/>
        </w:rPr>
        <w:t xml:space="preserve"> – </w:t>
      </w:r>
      <w:r w:rsidR="0065144E">
        <w:rPr>
          <w:rFonts w:ascii="Arial" w:hAnsi="Arial" w:cs="Arial"/>
          <w:bCs/>
        </w:rPr>
        <w:t>17</w:t>
      </w:r>
      <w:r>
        <w:rPr>
          <w:rFonts w:ascii="Arial" w:hAnsi="Arial" w:cs="Arial"/>
          <w:bCs/>
        </w:rPr>
        <w:t xml:space="preserve"> </w:t>
      </w:r>
      <w:r w:rsidR="0065144E">
        <w:rPr>
          <w:rFonts w:ascii="Arial" w:hAnsi="Arial" w:cs="Arial"/>
          <w:bCs/>
        </w:rPr>
        <w:t>May</w:t>
      </w:r>
      <w:r>
        <w:rPr>
          <w:rFonts w:ascii="Arial" w:hAnsi="Arial" w:cs="Arial"/>
          <w:bCs/>
        </w:rPr>
        <w:t xml:space="preserve"> 2019</w:t>
      </w:r>
      <w:r>
        <w:rPr>
          <w:rFonts w:ascii="Arial" w:hAnsi="Arial" w:cs="Arial"/>
          <w:bCs/>
        </w:rPr>
        <w:tab/>
      </w:r>
      <w:r>
        <w:rPr>
          <w:rFonts w:ascii="Arial" w:hAnsi="Arial" w:cs="Arial"/>
          <w:bCs/>
        </w:rPr>
        <w:tab/>
      </w:r>
      <w:r>
        <w:rPr>
          <w:rFonts w:ascii="Arial" w:hAnsi="Arial" w:cs="Arial"/>
          <w:bCs/>
        </w:rPr>
        <w:tab/>
      </w:r>
      <w:r w:rsidR="0065144E">
        <w:rPr>
          <w:rFonts w:ascii="Arial" w:hAnsi="Arial" w:cs="Arial"/>
          <w:bCs/>
        </w:rPr>
        <w:t>Reno</w:t>
      </w:r>
      <w:r>
        <w:rPr>
          <w:rFonts w:ascii="Arial" w:hAnsi="Arial" w:cs="Arial"/>
          <w:bCs/>
        </w:rPr>
        <w:t xml:space="preserve">, </w:t>
      </w:r>
      <w:r w:rsidR="0065144E">
        <w:rPr>
          <w:rFonts w:ascii="Arial" w:hAnsi="Arial" w:cs="Arial"/>
          <w:bCs/>
        </w:rPr>
        <w:t>U.S.A.</w:t>
      </w:r>
    </w:p>
    <w:p w:rsidR="00B273A1" w:rsidRDefault="0012167A" w:rsidP="0031722B">
      <w:pPr>
        <w:tabs>
          <w:tab w:val="left" w:pos="4111"/>
        </w:tabs>
        <w:spacing w:after="120"/>
        <w:rPr>
          <w:rFonts w:ascii="Arial" w:hAnsi="Arial" w:cs="Arial"/>
          <w:bCs/>
        </w:rPr>
      </w:pPr>
      <w:r>
        <w:rPr>
          <w:rFonts w:ascii="Arial" w:hAnsi="Arial" w:cs="Arial"/>
          <w:bCs/>
        </w:rPr>
        <w:t>TSG-RAN WG1 Meeting #9</w:t>
      </w:r>
      <w:r w:rsidR="0065144E">
        <w:rPr>
          <w:rFonts w:ascii="Arial" w:hAnsi="Arial" w:cs="Arial"/>
          <w:bCs/>
        </w:rPr>
        <w:t>8</w:t>
      </w:r>
      <w:r>
        <w:rPr>
          <w:rFonts w:ascii="Arial" w:hAnsi="Arial" w:cs="Arial"/>
          <w:bCs/>
        </w:rPr>
        <w:t xml:space="preserve"> </w:t>
      </w:r>
      <w:r>
        <w:rPr>
          <w:rFonts w:ascii="Arial" w:hAnsi="Arial" w:cs="Arial"/>
          <w:bCs/>
        </w:rPr>
        <w:tab/>
      </w:r>
      <w:r w:rsidR="0065144E">
        <w:rPr>
          <w:rFonts w:ascii="Arial" w:hAnsi="Arial" w:cs="Arial"/>
          <w:bCs/>
        </w:rPr>
        <w:t>26</w:t>
      </w:r>
      <w:r>
        <w:rPr>
          <w:rFonts w:ascii="Arial" w:hAnsi="Arial" w:cs="Arial"/>
          <w:bCs/>
        </w:rPr>
        <w:t xml:space="preserve"> – </w:t>
      </w:r>
      <w:r w:rsidR="0065144E">
        <w:rPr>
          <w:rFonts w:ascii="Arial" w:hAnsi="Arial" w:cs="Arial"/>
          <w:bCs/>
        </w:rPr>
        <w:t>30</w:t>
      </w:r>
      <w:r>
        <w:rPr>
          <w:rFonts w:ascii="Arial" w:hAnsi="Arial" w:cs="Arial"/>
          <w:bCs/>
        </w:rPr>
        <w:t xml:space="preserve"> </w:t>
      </w:r>
      <w:r w:rsidR="0065144E">
        <w:rPr>
          <w:rFonts w:ascii="Arial" w:hAnsi="Arial" w:cs="Arial"/>
          <w:bCs/>
        </w:rPr>
        <w:t>Aug</w:t>
      </w:r>
      <w:r>
        <w:rPr>
          <w:rFonts w:ascii="Arial" w:hAnsi="Arial" w:cs="Arial"/>
          <w:bCs/>
        </w:rPr>
        <w:t xml:space="preserve"> 2019</w:t>
      </w:r>
      <w:r w:rsidR="0065144E">
        <w:rPr>
          <w:rFonts w:ascii="Arial" w:hAnsi="Arial" w:cs="Arial"/>
          <w:bCs/>
        </w:rPr>
        <w:tab/>
      </w:r>
      <w:r>
        <w:rPr>
          <w:rFonts w:ascii="Arial" w:hAnsi="Arial" w:cs="Arial"/>
          <w:bCs/>
        </w:rPr>
        <w:tab/>
      </w:r>
      <w:r>
        <w:rPr>
          <w:rFonts w:ascii="Arial" w:hAnsi="Arial" w:cs="Arial"/>
          <w:bCs/>
        </w:rPr>
        <w:tab/>
      </w:r>
      <w:r w:rsidR="0065144E">
        <w:rPr>
          <w:rFonts w:ascii="Arial" w:hAnsi="Arial" w:cs="Arial"/>
          <w:bCs/>
        </w:rPr>
        <w:t>Prague</w:t>
      </w:r>
      <w:r>
        <w:rPr>
          <w:rFonts w:ascii="Arial" w:hAnsi="Arial" w:cs="Arial"/>
          <w:bCs/>
        </w:rPr>
        <w:t xml:space="preserve">, </w:t>
      </w:r>
      <w:r w:rsidR="0065144E">
        <w:rPr>
          <w:rFonts w:ascii="Arial" w:hAnsi="Arial" w:cs="Arial"/>
          <w:bCs/>
        </w:rPr>
        <w:t>Czech Republic</w:t>
      </w:r>
    </w:p>
    <w:p w:rsidR="00884B7F" w:rsidRDefault="00884B7F" w:rsidP="0031722B">
      <w:pPr>
        <w:tabs>
          <w:tab w:val="left" w:pos="4111"/>
        </w:tabs>
        <w:spacing w:after="120"/>
        <w:rPr>
          <w:rFonts w:ascii="Arial" w:hAnsi="Arial" w:cs="Arial"/>
          <w:bCs/>
        </w:rPr>
      </w:pPr>
    </w:p>
    <w:p w:rsidR="00D11067" w:rsidRDefault="00D11067" w:rsidP="0031722B">
      <w:pPr>
        <w:tabs>
          <w:tab w:val="left" w:pos="4111"/>
        </w:tabs>
        <w:spacing w:after="120"/>
        <w:rPr>
          <w:rFonts w:ascii="Arial" w:hAnsi="Arial" w:cs="Arial"/>
          <w:bCs/>
        </w:rPr>
      </w:pPr>
    </w:p>
    <w:p w:rsidR="00D11067" w:rsidRPr="00D11067" w:rsidRDefault="00D11067" w:rsidP="00D11067">
      <w:pPr>
        <w:spacing w:after="120"/>
        <w:rPr>
          <w:rFonts w:ascii="Arial" w:hAnsi="Arial" w:cs="Arial"/>
          <w:b/>
        </w:rPr>
      </w:pPr>
      <w:r>
        <w:rPr>
          <w:rFonts w:ascii="Arial" w:hAnsi="Arial" w:cs="Arial"/>
          <w:b/>
        </w:rPr>
        <w:t xml:space="preserve">4. </w:t>
      </w:r>
      <w:r w:rsidRPr="00D11067">
        <w:rPr>
          <w:rFonts w:ascii="Arial" w:hAnsi="Arial" w:cs="Arial"/>
          <w:b/>
        </w:rPr>
        <w:t>Appendix:</w:t>
      </w:r>
    </w:p>
    <w:p w:rsidR="00D11067" w:rsidRPr="00D11067" w:rsidRDefault="00D11067" w:rsidP="00D11067">
      <w:pPr>
        <w:rPr>
          <w:rFonts w:ascii="Arial" w:hAnsi="Arial" w:cs="Arial"/>
          <w:iCs/>
        </w:rPr>
      </w:pPr>
      <w:r w:rsidRPr="00D11067">
        <w:rPr>
          <w:rFonts w:ascii="Arial" w:hAnsi="Arial" w:cs="Arial"/>
          <w:b/>
          <w:iCs/>
          <w:u w:val="single"/>
        </w:rPr>
        <w:t>Inter-frequency inter-band</w:t>
      </w:r>
    </w:p>
    <w:p w:rsidR="00D11067" w:rsidRPr="00D11067" w:rsidRDefault="00D11067" w:rsidP="00D11067">
      <w:pPr>
        <w:pStyle w:val="ListParagraph"/>
        <w:numPr>
          <w:ilvl w:val="0"/>
          <w:numId w:val="25"/>
        </w:numPr>
        <w:ind w:leftChars="0"/>
        <w:rPr>
          <w:rFonts w:ascii="Arial" w:hAnsi="Arial" w:cs="Arial"/>
          <w:iCs/>
          <w:szCs w:val="20"/>
        </w:rPr>
      </w:pPr>
      <w:r w:rsidRPr="00D11067">
        <w:rPr>
          <w:rFonts w:ascii="Arial" w:hAnsi="Arial" w:cs="Arial"/>
          <w:iCs/>
          <w:szCs w:val="20"/>
        </w:rPr>
        <w:t xml:space="preserve">For UEs with dual Tx/Rx chains, it may be feasible to support simultaneous transmission/reception for both synchronous and asynchronous scenarios. Not all combinations of source/target bands may be supported. </w:t>
      </w:r>
    </w:p>
    <w:p w:rsidR="00D11067" w:rsidRPr="00D11067" w:rsidRDefault="00D11067" w:rsidP="00D11067">
      <w:pPr>
        <w:pStyle w:val="ListParagraph"/>
        <w:ind w:leftChars="0" w:left="720" w:firstLine="0"/>
        <w:rPr>
          <w:rFonts w:ascii="Arial" w:hAnsi="Arial" w:cs="Arial"/>
          <w:iCs/>
          <w:szCs w:val="20"/>
        </w:rPr>
      </w:pPr>
    </w:p>
    <w:p w:rsidR="00D11067" w:rsidRPr="00D11067" w:rsidRDefault="00D11067" w:rsidP="00D11067">
      <w:pPr>
        <w:rPr>
          <w:rFonts w:ascii="Arial" w:hAnsi="Arial" w:cs="Arial"/>
          <w:iCs/>
        </w:rPr>
      </w:pPr>
      <w:r w:rsidRPr="00D11067">
        <w:rPr>
          <w:rFonts w:ascii="Arial" w:hAnsi="Arial" w:cs="Arial"/>
          <w:b/>
          <w:iCs/>
          <w:u w:val="single"/>
        </w:rPr>
        <w:t>Inter-frequency intra-band synchronous</w:t>
      </w:r>
    </w:p>
    <w:p w:rsidR="00D11067" w:rsidRPr="00D11067" w:rsidRDefault="00D11067" w:rsidP="00D11067">
      <w:pPr>
        <w:pStyle w:val="ListParagraph"/>
        <w:numPr>
          <w:ilvl w:val="0"/>
          <w:numId w:val="25"/>
        </w:numPr>
        <w:ind w:leftChars="0"/>
        <w:rPr>
          <w:rFonts w:ascii="Arial" w:hAnsi="Arial" w:cs="Arial"/>
          <w:iCs/>
          <w:szCs w:val="20"/>
        </w:rPr>
      </w:pPr>
      <w:r w:rsidRPr="00D11067">
        <w:rPr>
          <w:rFonts w:ascii="Arial" w:hAnsi="Arial" w:cs="Arial"/>
          <w:iCs/>
          <w:szCs w:val="20"/>
        </w:rPr>
        <w:t xml:space="preserve">Simultaneous reception: Feasible at least for UEs supporting intra-band DL CA on frequencies which would be supported for CA serving cells. </w:t>
      </w:r>
    </w:p>
    <w:p w:rsidR="00D11067" w:rsidRPr="00D11067" w:rsidRDefault="00D11067" w:rsidP="00D11067">
      <w:pPr>
        <w:pStyle w:val="ListParagraph"/>
        <w:numPr>
          <w:ilvl w:val="0"/>
          <w:numId w:val="25"/>
        </w:numPr>
        <w:ind w:leftChars="0"/>
        <w:rPr>
          <w:rFonts w:ascii="Arial" w:hAnsi="Arial" w:cs="Arial"/>
          <w:iCs/>
          <w:szCs w:val="20"/>
        </w:rPr>
      </w:pPr>
      <w:r w:rsidRPr="00D11067">
        <w:rPr>
          <w:rFonts w:ascii="Arial" w:hAnsi="Arial" w:cs="Arial"/>
          <w:iCs/>
          <w:szCs w:val="20"/>
        </w:rPr>
        <w:t>Simultaneous transmission: Feasible at least for UEs supporting intra-band UL CA on frequencies which would be supported for CA serving cells, under some conditions (e.g. TAG of source/target CC, power control, contiguous/non-contiguous).</w:t>
      </w:r>
    </w:p>
    <w:p w:rsidR="00D11067" w:rsidRPr="00D11067" w:rsidRDefault="00D11067" w:rsidP="00D11067">
      <w:pPr>
        <w:pStyle w:val="ListParagraph"/>
        <w:ind w:leftChars="0" w:left="720" w:firstLine="0"/>
        <w:rPr>
          <w:rFonts w:ascii="Arial" w:hAnsi="Arial" w:cs="Arial"/>
          <w:iCs/>
          <w:szCs w:val="20"/>
        </w:rPr>
      </w:pPr>
    </w:p>
    <w:p w:rsidR="00D11067" w:rsidRPr="00D11067" w:rsidRDefault="00D11067" w:rsidP="00D11067">
      <w:pPr>
        <w:rPr>
          <w:rFonts w:ascii="Arial" w:hAnsi="Arial" w:cs="Arial"/>
          <w:b/>
          <w:iCs/>
          <w:u w:val="single"/>
        </w:rPr>
      </w:pPr>
      <w:r w:rsidRPr="00D11067">
        <w:rPr>
          <w:rFonts w:ascii="Arial" w:hAnsi="Arial" w:cs="Arial"/>
          <w:b/>
          <w:iCs/>
          <w:u w:val="single"/>
        </w:rPr>
        <w:t>Inter-frequency intra-band asynchronous</w:t>
      </w:r>
    </w:p>
    <w:p w:rsidR="00D11067" w:rsidRPr="00D11067" w:rsidRDefault="00D11067" w:rsidP="00D11067">
      <w:pPr>
        <w:pStyle w:val="ListParagraph"/>
        <w:numPr>
          <w:ilvl w:val="0"/>
          <w:numId w:val="25"/>
        </w:numPr>
        <w:ind w:leftChars="0"/>
        <w:rPr>
          <w:rFonts w:ascii="Arial" w:hAnsi="Arial" w:cs="Arial"/>
          <w:iCs/>
          <w:szCs w:val="20"/>
        </w:rPr>
      </w:pPr>
      <w:r w:rsidRPr="00D11067">
        <w:rPr>
          <w:rFonts w:ascii="Arial" w:hAnsi="Arial" w:cs="Arial"/>
          <w:iCs/>
          <w:szCs w:val="20"/>
        </w:rPr>
        <w:t>RAN1 has not concluded whether simultaneous Tx and/or Rx can be supported for this case.</w:t>
      </w:r>
    </w:p>
    <w:p w:rsidR="00D11067" w:rsidRPr="00D11067" w:rsidRDefault="00D11067" w:rsidP="00D11067">
      <w:pPr>
        <w:pStyle w:val="ListParagraph"/>
        <w:ind w:leftChars="0" w:left="720" w:firstLine="0"/>
        <w:rPr>
          <w:rFonts w:ascii="Arial" w:hAnsi="Arial" w:cs="Arial"/>
          <w:iCs/>
          <w:szCs w:val="20"/>
        </w:rPr>
      </w:pPr>
    </w:p>
    <w:p w:rsidR="00D11067" w:rsidRPr="00D11067" w:rsidRDefault="00D11067" w:rsidP="00D11067">
      <w:pPr>
        <w:rPr>
          <w:rFonts w:ascii="Arial" w:hAnsi="Arial" w:cs="Arial"/>
          <w:iCs/>
        </w:rPr>
      </w:pPr>
      <w:r w:rsidRPr="00D11067">
        <w:rPr>
          <w:rFonts w:ascii="Arial" w:hAnsi="Arial" w:cs="Arial"/>
          <w:b/>
          <w:iCs/>
          <w:u w:val="single"/>
        </w:rPr>
        <w:t>Intra-frequency synchronous</w:t>
      </w:r>
    </w:p>
    <w:p w:rsidR="00D11067" w:rsidRPr="00D11067" w:rsidRDefault="00D11067" w:rsidP="00D11067">
      <w:pPr>
        <w:pStyle w:val="ListParagraph"/>
        <w:numPr>
          <w:ilvl w:val="0"/>
          <w:numId w:val="25"/>
        </w:numPr>
        <w:ind w:leftChars="0"/>
        <w:rPr>
          <w:rFonts w:ascii="Arial" w:hAnsi="Arial" w:cs="Arial"/>
          <w:iCs/>
          <w:szCs w:val="20"/>
        </w:rPr>
      </w:pPr>
      <w:r w:rsidRPr="00D11067">
        <w:rPr>
          <w:rFonts w:ascii="Arial" w:hAnsi="Arial" w:cs="Arial"/>
          <w:iCs/>
          <w:szCs w:val="20"/>
        </w:rPr>
        <w:t>Reception: Feasible for some UEs at least if source/target bandwidth are the same and under some conditions (e.g. condition of received signal power difference between source/target cells).</w:t>
      </w:r>
    </w:p>
    <w:p w:rsidR="00D11067" w:rsidRPr="00D11067" w:rsidRDefault="00D11067" w:rsidP="00D11067">
      <w:pPr>
        <w:pStyle w:val="ListParagraph"/>
        <w:numPr>
          <w:ilvl w:val="0"/>
          <w:numId w:val="25"/>
        </w:numPr>
        <w:ind w:leftChars="0"/>
        <w:rPr>
          <w:rFonts w:ascii="Arial" w:hAnsi="Arial" w:cs="Arial"/>
          <w:iCs/>
          <w:szCs w:val="20"/>
        </w:rPr>
      </w:pPr>
      <w:r w:rsidRPr="00D11067">
        <w:rPr>
          <w:rFonts w:ascii="Arial" w:hAnsi="Arial" w:cs="Arial"/>
          <w:iCs/>
          <w:szCs w:val="20"/>
        </w:rPr>
        <w:t>Transmission: Feasible for UEs with single RF chain, and source/target eNB in same PC group and under some conditions (e.g. condition of MTTD). UEs that have multiple RF chains that can be enabled for this band may be able to relax this condition.</w:t>
      </w:r>
    </w:p>
    <w:p w:rsidR="00D11067" w:rsidRPr="00D11067" w:rsidRDefault="00D11067" w:rsidP="00D11067">
      <w:pPr>
        <w:pStyle w:val="ListParagraph"/>
        <w:ind w:leftChars="0" w:left="720" w:firstLine="0"/>
        <w:rPr>
          <w:rFonts w:ascii="Arial" w:hAnsi="Arial" w:cs="Arial"/>
          <w:iCs/>
          <w:szCs w:val="20"/>
        </w:rPr>
      </w:pPr>
    </w:p>
    <w:p w:rsidR="00D11067" w:rsidRPr="00D11067" w:rsidRDefault="00D11067" w:rsidP="00D11067">
      <w:pPr>
        <w:rPr>
          <w:rFonts w:ascii="Arial" w:hAnsi="Arial" w:cs="Arial"/>
          <w:iCs/>
        </w:rPr>
      </w:pPr>
      <w:r w:rsidRPr="00D11067">
        <w:rPr>
          <w:rFonts w:ascii="Arial" w:hAnsi="Arial" w:cs="Arial"/>
          <w:b/>
          <w:iCs/>
          <w:u w:val="single"/>
        </w:rPr>
        <w:t>Intra-frequency asynchronous</w:t>
      </w:r>
    </w:p>
    <w:p w:rsidR="00D11067" w:rsidRPr="00D11067" w:rsidRDefault="00D11067" w:rsidP="00D11067">
      <w:pPr>
        <w:pStyle w:val="ListParagraph"/>
        <w:numPr>
          <w:ilvl w:val="0"/>
          <w:numId w:val="25"/>
        </w:numPr>
        <w:ind w:leftChars="0"/>
        <w:rPr>
          <w:rFonts w:ascii="Arial" w:hAnsi="Arial" w:cs="Arial"/>
          <w:iCs/>
          <w:szCs w:val="20"/>
        </w:rPr>
      </w:pPr>
      <w:r w:rsidRPr="00D11067">
        <w:rPr>
          <w:rFonts w:ascii="Arial" w:hAnsi="Arial" w:cs="Arial"/>
          <w:iCs/>
          <w:szCs w:val="20"/>
        </w:rPr>
        <w:t>Reception: Feasible for UEs with single RF chain under some conditions (e.g. condition of received power difference between source/target cells). Requires separate FFT/loops with source and target cells.</w:t>
      </w:r>
    </w:p>
    <w:p w:rsidR="00D11067" w:rsidRPr="00D11067" w:rsidRDefault="00D11067" w:rsidP="00D11067">
      <w:pPr>
        <w:pStyle w:val="ListParagraph"/>
        <w:numPr>
          <w:ilvl w:val="0"/>
          <w:numId w:val="25"/>
        </w:numPr>
        <w:ind w:leftChars="0"/>
        <w:rPr>
          <w:rFonts w:ascii="Arial" w:hAnsi="Arial" w:cs="Arial"/>
          <w:iCs/>
          <w:szCs w:val="20"/>
        </w:rPr>
      </w:pPr>
      <w:r w:rsidRPr="00D11067">
        <w:rPr>
          <w:rFonts w:ascii="Arial" w:hAnsi="Arial" w:cs="Arial"/>
          <w:iCs/>
          <w:szCs w:val="20"/>
        </w:rPr>
        <w:t>Transmission: RAN1 has not concluded whether simultaneous Tx and/or Rx can be supported for this case.</w:t>
      </w:r>
    </w:p>
    <w:p w:rsidR="00D11067" w:rsidRPr="00D11067" w:rsidRDefault="00D11067" w:rsidP="00D11067">
      <w:pPr>
        <w:rPr>
          <w:rFonts w:ascii="Arial" w:hAnsi="Arial" w:cs="Arial"/>
          <w:iCs/>
          <w:u w:val="single"/>
        </w:rPr>
      </w:pPr>
    </w:p>
    <w:p w:rsidR="00D11067" w:rsidRDefault="00D11067" w:rsidP="00D11067">
      <w:pPr>
        <w:rPr>
          <w:rFonts w:ascii="Arial" w:hAnsi="Arial" w:cs="Arial"/>
          <w:iCs/>
        </w:rPr>
      </w:pPr>
      <w:r w:rsidRPr="00D11067">
        <w:rPr>
          <w:rFonts w:ascii="Arial" w:hAnsi="Arial" w:cs="Arial"/>
          <w:iCs/>
        </w:rPr>
        <w:t>For all scenarios, the above statements are to be confirmed by RAN4 taking into account aspects such as required degrees of synchronization, AGC, power difference, etc. For the cases where simultaneous transmission/reception are not possible, some techniques (e.g. TDM at the physical layer) may be applied to allow for simultaneous connection to source and target cells.</w:t>
      </w:r>
    </w:p>
    <w:p w:rsidR="00D11067" w:rsidRPr="00D11067" w:rsidRDefault="00D11067" w:rsidP="00D11067">
      <w:pPr>
        <w:rPr>
          <w:rFonts w:ascii="Arial" w:hAnsi="Arial" w:cs="Arial"/>
          <w:iCs/>
        </w:rPr>
      </w:pPr>
    </w:p>
    <w:p w:rsidR="00D11067" w:rsidRPr="00D11067" w:rsidRDefault="00D11067" w:rsidP="00D11067">
      <w:pPr>
        <w:rPr>
          <w:rFonts w:ascii="Arial" w:hAnsi="Arial" w:cs="Arial"/>
          <w:iCs/>
        </w:rPr>
      </w:pPr>
      <w:r w:rsidRPr="00D11067">
        <w:rPr>
          <w:rFonts w:ascii="Arial" w:hAnsi="Arial" w:cs="Arial"/>
          <w:iCs/>
        </w:rPr>
        <w:t>Some UE resources may need to be released in the source eNB (e.g. number of CC/bands/MIMO layers) to support simultaneous tx/rx with target eNB.</w:t>
      </w:r>
    </w:p>
    <w:p w:rsidR="00D11067" w:rsidRDefault="00D11067" w:rsidP="0031722B">
      <w:pPr>
        <w:tabs>
          <w:tab w:val="left" w:pos="4111"/>
        </w:tabs>
        <w:spacing w:after="120"/>
        <w:rPr>
          <w:rFonts w:ascii="Arial" w:hAnsi="Arial" w:cs="Arial"/>
          <w:bCs/>
        </w:rPr>
      </w:pPr>
    </w:p>
    <w:sectPr w:rsidR="00D1106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00F3" w:rsidRDefault="001B00F3">
      <w:r>
        <w:separator/>
      </w:r>
    </w:p>
  </w:endnote>
  <w:endnote w:type="continuationSeparator" w:id="0">
    <w:p w:rsidR="001B00F3" w:rsidRDefault="001B0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onotype Sorts">
    <w:altName w:val="MT Extra"/>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00F3" w:rsidRDefault="001B00F3">
      <w:r>
        <w:separator/>
      </w:r>
    </w:p>
  </w:footnote>
  <w:footnote w:type="continuationSeparator" w:id="0">
    <w:p w:rsidR="001B00F3" w:rsidRDefault="001B00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716AFF"/>
    <w:multiLevelType w:val="hybridMultilevel"/>
    <w:tmpl w:val="02F848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FF3211D"/>
    <w:multiLevelType w:val="hybridMultilevel"/>
    <w:tmpl w:val="9A288738"/>
    <w:lvl w:ilvl="0" w:tplc="0A06EF7A">
      <w:start w:val="2"/>
      <w:numFmt w:val="bullet"/>
      <w:lvlText w:val="-"/>
      <w:lvlJc w:val="left"/>
      <w:pPr>
        <w:ind w:left="1353" w:hanging="360"/>
      </w:pPr>
      <w:rPr>
        <w:rFonts w:ascii="Arial" w:eastAsia="Yu Mincho" w:hAnsi="Arial" w:cs="Arial" w:hint="default"/>
        <w:b/>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 w15:restartNumberingAfterBreak="0">
    <w:nsid w:val="19CC5FED"/>
    <w:multiLevelType w:val="hybridMultilevel"/>
    <w:tmpl w:val="65027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F50A52"/>
    <w:multiLevelType w:val="hybridMultilevel"/>
    <w:tmpl w:val="E2CC47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15BC0B60">
      <w:numFmt w:val="bullet"/>
      <w:lvlText w:val="•"/>
      <w:lvlJc w:val="left"/>
      <w:pPr>
        <w:ind w:left="2520" w:hanging="720"/>
      </w:pPr>
      <w:rPr>
        <w:rFonts w:ascii="Arial" w:eastAsia="Malgun Gothic"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FC7E9F"/>
    <w:multiLevelType w:val="hybridMultilevel"/>
    <w:tmpl w:val="CDB676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00A4D6B"/>
    <w:multiLevelType w:val="hybridMultilevel"/>
    <w:tmpl w:val="AC9A021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7CC6A5C"/>
    <w:multiLevelType w:val="hybridMultilevel"/>
    <w:tmpl w:val="49D61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943EBB"/>
    <w:multiLevelType w:val="hybridMultilevel"/>
    <w:tmpl w:val="85DE1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6F010D"/>
    <w:multiLevelType w:val="hybridMultilevel"/>
    <w:tmpl w:val="4C70F84C"/>
    <w:lvl w:ilvl="0" w:tplc="04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B1F65B1"/>
    <w:multiLevelType w:val="hybridMultilevel"/>
    <w:tmpl w:val="394CA9E4"/>
    <w:lvl w:ilvl="0" w:tplc="CFF69CAA">
      <w:start w:val="1"/>
      <w:numFmt w:val="decimal"/>
      <w:lvlText w:val="Q%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D4A70FF"/>
    <w:multiLevelType w:val="hybridMultilevel"/>
    <w:tmpl w:val="6002C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701B4D"/>
    <w:multiLevelType w:val="hybridMultilevel"/>
    <w:tmpl w:val="4C70F84C"/>
    <w:lvl w:ilvl="0" w:tplc="04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5A75180"/>
    <w:multiLevelType w:val="hybridMultilevel"/>
    <w:tmpl w:val="4462D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C2776B"/>
    <w:multiLevelType w:val="hybridMultilevel"/>
    <w:tmpl w:val="39A0F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021E0B"/>
    <w:multiLevelType w:val="hybridMultilevel"/>
    <w:tmpl w:val="9E20A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5427FB"/>
    <w:multiLevelType w:val="hybridMultilevel"/>
    <w:tmpl w:val="11A09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50695A"/>
    <w:multiLevelType w:val="hybridMultilevel"/>
    <w:tmpl w:val="2E14F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D565C3A">
      <w:numFmt w:val="bullet"/>
      <w:lvlText w:val="•"/>
      <w:lvlJc w:val="left"/>
      <w:pPr>
        <w:ind w:left="2520" w:hanging="72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4CE2180"/>
    <w:multiLevelType w:val="hybridMultilevel"/>
    <w:tmpl w:val="E4DC6A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80D0F80"/>
    <w:multiLevelType w:val="hybridMultilevel"/>
    <w:tmpl w:val="84567502"/>
    <w:lvl w:ilvl="0" w:tplc="98F69B3C">
      <w:start w:val="1"/>
      <w:numFmt w:val="bullet"/>
      <w:lvlText w:val="‒"/>
      <w:lvlJc w:val="left"/>
      <w:pPr>
        <w:ind w:left="720" w:hanging="360"/>
      </w:pPr>
      <w:rPr>
        <w:rFonts w:ascii="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F696640"/>
    <w:multiLevelType w:val="hybridMultilevel"/>
    <w:tmpl w:val="DC986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587199"/>
    <w:multiLevelType w:val="hybridMultilevel"/>
    <w:tmpl w:val="A71A2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9"/>
  </w:num>
  <w:num w:numId="3">
    <w:abstractNumId w:val="13"/>
  </w:num>
  <w:num w:numId="4">
    <w:abstractNumId w:val="5"/>
  </w:num>
  <w:num w:numId="5">
    <w:abstractNumId w:val="0"/>
  </w:num>
  <w:num w:numId="6">
    <w:abstractNumId w:val="24"/>
  </w:num>
  <w:num w:numId="7">
    <w:abstractNumId w:val="2"/>
  </w:num>
  <w:num w:numId="8">
    <w:abstractNumId w:val="14"/>
  </w:num>
  <w:num w:numId="9">
    <w:abstractNumId w:val="12"/>
  </w:num>
  <w:num w:numId="10">
    <w:abstractNumId w:val="9"/>
  </w:num>
  <w:num w:numId="11">
    <w:abstractNumId w:val="7"/>
  </w:num>
  <w:num w:numId="12">
    <w:abstractNumId w:val="22"/>
  </w:num>
  <w:num w:numId="13">
    <w:abstractNumId w:val="10"/>
  </w:num>
  <w:num w:numId="14">
    <w:abstractNumId w:val="17"/>
  </w:num>
  <w:num w:numId="15">
    <w:abstractNumId w:val="3"/>
  </w:num>
  <w:num w:numId="16">
    <w:abstractNumId w:val="16"/>
  </w:num>
  <w:num w:numId="17">
    <w:abstractNumId w:val="23"/>
  </w:num>
  <w:num w:numId="18">
    <w:abstractNumId w:val="20"/>
  </w:num>
  <w:num w:numId="19">
    <w:abstractNumId w:val="4"/>
  </w:num>
  <w:num w:numId="20">
    <w:abstractNumId w:val="1"/>
  </w:num>
  <w:num w:numId="21">
    <w:abstractNumId w:val="8"/>
  </w:num>
  <w:num w:numId="22">
    <w:abstractNumId w:val="18"/>
  </w:num>
  <w:num w:numId="23">
    <w:abstractNumId w:val="15"/>
  </w:num>
  <w:num w:numId="24">
    <w:abstractNumId w:val="6"/>
  </w:num>
  <w:num w:numId="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9"/>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3709"/>
    <w:rsid w:val="00002FEC"/>
    <w:rsid w:val="00026A0E"/>
    <w:rsid w:val="000300A1"/>
    <w:rsid w:val="00042010"/>
    <w:rsid w:val="0004386E"/>
    <w:rsid w:val="00054076"/>
    <w:rsid w:val="00054D9A"/>
    <w:rsid w:val="00055E1D"/>
    <w:rsid w:val="00056907"/>
    <w:rsid w:val="000878DD"/>
    <w:rsid w:val="000B2922"/>
    <w:rsid w:val="000B6CA7"/>
    <w:rsid w:val="000B7806"/>
    <w:rsid w:val="000C11EF"/>
    <w:rsid w:val="000E2CF0"/>
    <w:rsid w:val="000F53BB"/>
    <w:rsid w:val="000F769C"/>
    <w:rsid w:val="00111471"/>
    <w:rsid w:val="0012167A"/>
    <w:rsid w:val="0012199A"/>
    <w:rsid w:val="00121BF6"/>
    <w:rsid w:val="00124346"/>
    <w:rsid w:val="00127A64"/>
    <w:rsid w:val="00134658"/>
    <w:rsid w:val="00137236"/>
    <w:rsid w:val="00146CB8"/>
    <w:rsid w:val="00166925"/>
    <w:rsid w:val="001746A2"/>
    <w:rsid w:val="00174B55"/>
    <w:rsid w:val="00186799"/>
    <w:rsid w:val="00187823"/>
    <w:rsid w:val="00197E7A"/>
    <w:rsid w:val="001A0F55"/>
    <w:rsid w:val="001B00F3"/>
    <w:rsid w:val="001C75FD"/>
    <w:rsid w:val="001C7F2C"/>
    <w:rsid w:val="001D1513"/>
    <w:rsid w:val="001D2AF5"/>
    <w:rsid w:val="001F233F"/>
    <w:rsid w:val="001F29A4"/>
    <w:rsid w:val="001F4D45"/>
    <w:rsid w:val="00203F32"/>
    <w:rsid w:val="00213960"/>
    <w:rsid w:val="002203A6"/>
    <w:rsid w:val="00220B7D"/>
    <w:rsid w:val="00221642"/>
    <w:rsid w:val="00224B97"/>
    <w:rsid w:val="002300A3"/>
    <w:rsid w:val="00233142"/>
    <w:rsid w:val="00270EDA"/>
    <w:rsid w:val="00274301"/>
    <w:rsid w:val="002765CA"/>
    <w:rsid w:val="00284AD7"/>
    <w:rsid w:val="00286C6C"/>
    <w:rsid w:val="0029412E"/>
    <w:rsid w:val="002A0D82"/>
    <w:rsid w:val="002A2F25"/>
    <w:rsid w:val="002A76E1"/>
    <w:rsid w:val="002C0435"/>
    <w:rsid w:val="002C2234"/>
    <w:rsid w:val="002C3618"/>
    <w:rsid w:val="002D0281"/>
    <w:rsid w:val="002F1C4C"/>
    <w:rsid w:val="002F4AD0"/>
    <w:rsid w:val="003065A9"/>
    <w:rsid w:val="00307AA4"/>
    <w:rsid w:val="00315C5E"/>
    <w:rsid w:val="00316299"/>
    <w:rsid w:val="0031722B"/>
    <w:rsid w:val="003218D2"/>
    <w:rsid w:val="00322011"/>
    <w:rsid w:val="00325629"/>
    <w:rsid w:val="00332BEA"/>
    <w:rsid w:val="00340C3D"/>
    <w:rsid w:val="0034431E"/>
    <w:rsid w:val="003509FD"/>
    <w:rsid w:val="003529EF"/>
    <w:rsid w:val="003864BE"/>
    <w:rsid w:val="00387DB6"/>
    <w:rsid w:val="00391283"/>
    <w:rsid w:val="00391B64"/>
    <w:rsid w:val="00397ACE"/>
    <w:rsid w:val="003A1CCB"/>
    <w:rsid w:val="003A4050"/>
    <w:rsid w:val="003A41BD"/>
    <w:rsid w:val="003B2922"/>
    <w:rsid w:val="003B3DD0"/>
    <w:rsid w:val="003B5FC8"/>
    <w:rsid w:val="003C255E"/>
    <w:rsid w:val="003C318F"/>
    <w:rsid w:val="003C4A5A"/>
    <w:rsid w:val="003C6024"/>
    <w:rsid w:val="003D265C"/>
    <w:rsid w:val="003D6F18"/>
    <w:rsid w:val="003E629A"/>
    <w:rsid w:val="003E6E41"/>
    <w:rsid w:val="003F1B8C"/>
    <w:rsid w:val="003F494D"/>
    <w:rsid w:val="004008D2"/>
    <w:rsid w:val="00402034"/>
    <w:rsid w:val="00404312"/>
    <w:rsid w:val="00407CF0"/>
    <w:rsid w:val="00410E34"/>
    <w:rsid w:val="00411575"/>
    <w:rsid w:val="004155CD"/>
    <w:rsid w:val="00424036"/>
    <w:rsid w:val="00424D93"/>
    <w:rsid w:val="00426167"/>
    <w:rsid w:val="00440BA7"/>
    <w:rsid w:val="00440DBD"/>
    <w:rsid w:val="004417EF"/>
    <w:rsid w:val="00441BA9"/>
    <w:rsid w:val="00453013"/>
    <w:rsid w:val="0045660B"/>
    <w:rsid w:val="00456FD8"/>
    <w:rsid w:val="00480C92"/>
    <w:rsid w:val="00480F1B"/>
    <w:rsid w:val="004824D4"/>
    <w:rsid w:val="004A4A60"/>
    <w:rsid w:val="004A4AED"/>
    <w:rsid w:val="004B3615"/>
    <w:rsid w:val="004C35B7"/>
    <w:rsid w:val="004C61C6"/>
    <w:rsid w:val="004D76E8"/>
    <w:rsid w:val="004E602C"/>
    <w:rsid w:val="004F70E8"/>
    <w:rsid w:val="00503AF3"/>
    <w:rsid w:val="005043ED"/>
    <w:rsid w:val="00505418"/>
    <w:rsid w:val="00505A83"/>
    <w:rsid w:val="00521FA7"/>
    <w:rsid w:val="00532BED"/>
    <w:rsid w:val="00533FB5"/>
    <w:rsid w:val="00540031"/>
    <w:rsid w:val="0054748F"/>
    <w:rsid w:val="005545F3"/>
    <w:rsid w:val="0057097B"/>
    <w:rsid w:val="005738A4"/>
    <w:rsid w:val="00592E60"/>
    <w:rsid w:val="00592F26"/>
    <w:rsid w:val="00597924"/>
    <w:rsid w:val="005A5FF8"/>
    <w:rsid w:val="005A6005"/>
    <w:rsid w:val="005B1C03"/>
    <w:rsid w:val="005C784A"/>
    <w:rsid w:val="005F4CCE"/>
    <w:rsid w:val="00600CEC"/>
    <w:rsid w:val="00602A6B"/>
    <w:rsid w:val="00605A6C"/>
    <w:rsid w:val="006261EF"/>
    <w:rsid w:val="00632723"/>
    <w:rsid w:val="0063296E"/>
    <w:rsid w:val="006419F0"/>
    <w:rsid w:val="00643498"/>
    <w:rsid w:val="00646548"/>
    <w:rsid w:val="0065144E"/>
    <w:rsid w:val="00654A2E"/>
    <w:rsid w:val="00655089"/>
    <w:rsid w:val="00656048"/>
    <w:rsid w:val="00664C87"/>
    <w:rsid w:val="00665967"/>
    <w:rsid w:val="00667086"/>
    <w:rsid w:val="00683AFF"/>
    <w:rsid w:val="00684D87"/>
    <w:rsid w:val="006858AE"/>
    <w:rsid w:val="006875BB"/>
    <w:rsid w:val="006B4BAE"/>
    <w:rsid w:val="006E21B8"/>
    <w:rsid w:val="006E4DEB"/>
    <w:rsid w:val="006E53D1"/>
    <w:rsid w:val="00705C88"/>
    <w:rsid w:val="00737754"/>
    <w:rsid w:val="00757797"/>
    <w:rsid w:val="0076249C"/>
    <w:rsid w:val="00785B39"/>
    <w:rsid w:val="007A60C7"/>
    <w:rsid w:val="007A7868"/>
    <w:rsid w:val="007B2407"/>
    <w:rsid w:val="007B4E82"/>
    <w:rsid w:val="007C2AE6"/>
    <w:rsid w:val="007D02D7"/>
    <w:rsid w:val="007D3616"/>
    <w:rsid w:val="007D3D06"/>
    <w:rsid w:val="007E0114"/>
    <w:rsid w:val="007E1CBB"/>
    <w:rsid w:val="007E23BA"/>
    <w:rsid w:val="007F79F7"/>
    <w:rsid w:val="00800385"/>
    <w:rsid w:val="00802EB5"/>
    <w:rsid w:val="008046F9"/>
    <w:rsid w:val="0082305D"/>
    <w:rsid w:val="0082515D"/>
    <w:rsid w:val="00830195"/>
    <w:rsid w:val="0083521D"/>
    <w:rsid w:val="0085025A"/>
    <w:rsid w:val="00854D48"/>
    <w:rsid w:val="00857A60"/>
    <w:rsid w:val="008666C1"/>
    <w:rsid w:val="008740BB"/>
    <w:rsid w:val="0087596B"/>
    <w:rsid w:val="00880BCD"/>
    <w:rsid w:val="00884B7F"/>
    <w:rsid w:val="00886AB4"/>
    <w:rsid w:val="00891565"/>
    <w:rsid w:val="00893308"/>
    <w:rsid w:val="008A3173"/>
    <w:rsid w:val="008A491F"/>
    <w:rsid w:val="008B2E76"/>
    <w:rsid w:val="008B60C5"/>
    <w:rsid w:val="008C37FE"/>
    <w:rsid w:val="008D06B0"/>
    <w:rsid w:val="008D10BD"/>
    <w:rsid w:val="008D6502"/>
    <w:rsid w:val="008F3530"/>
    <w:rsid w:val="00900023"/>
    <w:rsid w:val="00901427"/>
    <w:rsid w:val="00902652"/>
    <w:rsid w:val="00903F14"/>
    <w:rsid w:val="00904AAE"/>
    <w:rsid w:val="00925ED5"/>
    <w:rsid w:val="009274E9"/>
    <w:rsid w:val="009336CC"/>
    <w:rsid w:val="00957903"/>
    <w:rsid w:val="00967980"/>
    <w:rsid w:val="00972480"/>
    <w:rsid w:val="00974925"/>
    <w:rsid w:val="009856CA"/>
    <w:rsid w:val="009A6CDA"/>
    <w:rsid w:val="009B10D0"/>
    <w:rsid w:val="009B4223"/>
    <w:rsid w:val="009D017B"/>
    <w:rsid w:val="009D1E06"/>
    <w:rsid w:val="009D21E6"/>
    <w:rsid w:val="009D4EF9"/>
    <w:rsid w:val="009E3F1E"/>
    <w:rsid w:val="009E74C8"/>
    <w:rsid w:val="00A23CC0"/>
    <w:rsid w:val="00A32DC7"/>
    <w:rsid w:val="00A3797B"/>
    <w:rsid w:val="00A41CA1"/>
    <w:rsid w:val="00A4545B"/>
    <w:rsid w:val="00A6489C"/>
    <w:rsid w:val="00A73035"/>
    <w:rsid w:val="00A84691"/>
    <w:rsid w:val="00AA66B5"/>
    <w:rsid w:val="00AB08DA"/>
    <w:rsid w:val="00AB1B42"/>
    <w:rsid w:val="00AC212F"/>
    <w:rsid w:val="00AC2AED"/>
    <w:rsid w:val="00AD2564"/>
    <w:rsid w:val="00AE4AFC"/>
    <w:rsid w:val="00AE5F2B"/>
    <w:rsid w:val="00AF060F"/>
    <w:rsid w:val="00AF0ED3"/>
    <w:rsid w:val="00B00815"/>
    <w:rsid w:val="00B13B47"/>
    <w:rsid w:val="00B15A0E"/>
    <w:rsid w:val="00B20D8B"/>
    <w:rsid w:val="00B21AD0"/>
    <w:rsid w:val="00B273A1"/>
    <w:rsid w:val="00B3057D"/>
    <w:rsid w:val="00B3108B"/>
    <w:rsid w:val="00B344E2"/>
    <w:rsid w:val="00B36AF1"/>
    <w:rsid w:val="00B40D76"/>
    <w:rsid w:val="00B47016"/>
    <w:rsid w:val="00B478AE"/>
    <w:rsid w:val="00B530DE"/>
    <w:rsid w:val="00B56EB1"/>
    <w:rsid w:val="00B5726D"/>
    <w:rsid w:val="00B615E0"/>
    <w:rsid w:val="00B710DF"/>
    <w:rsid w:val="00B728E6"/>
    <w:rsid w:val="00B80FB9"/>
    <w:rsid w:val="00BA5A2B"/>
    <w:rsid w:val="00BA62A5"/>
    <w:rsid w:val="00BA6806"/>
    <w:rsid w:val="00BB0037"/>
    <w:rsid w:val="00BB0DC3"/>
    <w:rsid w:val="00BB1DAA"/>
    <w:rsid w:val="00BC470E"/>
    <w:rsid w:val="00BC4819"/>
    <w:rsid w:val="00BC48FE"/>
    <w:rsid w:val="00BC6895"/>
    <w:rsid w:val="00BD5DB6"/>
    <w:rsid w:val="00BE54F8"/>
    <w:rsid w:val="00BE5852"/>
    <w:rsid w:val="00BE75B1"/>
    <w:rsid w:val="00BF21AF"/>
    <w:rsid w:val="00BF317B"/>
    <w:rsid w:val="00BF47EC"/>
    <w:rsid w:val="00BF7BE5"/>
    <w:rsid w:val="00C045C4"/>
    <w:rsid w:val="00C30B54"/>
    <w:rsid w:val="00C31799"/>
    <w:rsid w:val="00C36372"/>
    <w:rsid w:val="00C433C7"/>
    <w:rsid w:val="00C51971"/>
    <w:rsid w:val="00C64063"/>
    <w:rsid w:val="00C7509C"/>
    <w:rsid w:val="00C81F19"/>
    <w:rsid w:val="00C871CD"/>
    <w:rsid w:val="00C94043"/>
    <w:rsid w:val="00CA3CC2"/>
    <w:rsid w:val="00CA4C8B"/>
    <w:rsid w:val="00CB15F3"/>
    <w:rsid w:val="00CB3D5B"/>
    <w:rsid w:val="00CC4FEA"/>
    <w:rsid w:val="00CD04EA"/>
    <w:rsid w:val="00CD348A"/>
    <w:rsid w:val="00CD5BB9"/>
    <w:rsid w:val="00CE66B8"/>
    <w:rsid w:val="00CF1820"/>
    <w:rsid w:val="00CF568D"/>
    <w:rsid w:val="00D01BE1"/>
    <w:rsid w:val="00D11067"/>
    <w:rsid w:val="00D1253C"/>
    <w:rsid w:val="00D21EDA"/>
    <w:rsid w:val="00D23850"/>
    <w:rsid w:val="00D315FC"/>
    <w:rsid w:val="00D3385B"/>
    <w:rsid w:val="00D35C7A"/>
    <w:rsid w:val="00D46174"/>
    <w:rsid w:val="00D47564"/>
    <w:rsid w:val="00D5250F"/>
    <w:rsid w:val="00D72B28"/>
    <w:rsid w:val="00D80BAF"/>
    <w:rsid w:val="00D84795"/>
    <w:rsid w:val="00D85146"/>
    <w:rsid w:val="00D9077B"/>
    <w:rsid w:val="00DA3565"/>
    <w:rsid w:val="00DA5478"/>
    <w:rsid w:val="00DD32A7"/>
    <w:rsid w:val="00DD4871"/>
    <w:rsid w:val="00DD4EEC"/>
    <w:rsid w:val="00DE3B29"/>
    <w:rsid w:val="00DE6790"/>
    <w:rsid w:val="00DF4C2A"/>
    <w:rsid w:val="00E01D0B"/>
    <w:rsid w:val="00E02CC8"/>
    <w:rsid w:val="00E2639C"/>
    <w:rsid w:val="00E30A56"/>
    <w:rsid w:val="00E3173D"/>
    <w:rsid w:val="00E33F6F"/>
    <w:rsid w:val="00E537C7"/>
    <w:rsid w:val="00E558C1"/>
    <w:rsid w:val="00E56574"/>
    <w:rsid w:val="00E62D6A"/>
    <w:rsid w:val="00E70BC3"/>
    <w:rsid w:val="00E721B7"/>
    <w:rsid w:val="00E732B6"/>
    <w:rsid w:val="00E83A6B"/>
    <w:rsid w:val="00E94239"/>
    <w:rsid w:val="00EA6F52"/>
    <w:rsid w:val="00EB318F"/>
    <w:rsid w:val="00EC1382"/>
    <w:rsid w:val="00ED3501"/>
    <w:rsid w:val="00ED351A"/>
    <w:rsid w:val="00ED3709"/>
    <w:rsid w:val="00ED7D4C"/>
    <w:rsid w:val="00EE251F"/>
    <w:rsid w:val="00EE6084"/>
    <w:rsid w:val="00EE7444"/>
    <w:rsid w:val="00EF285E"/>
    <w:rsid w:val="00EF3402"/>
    <w:rsid w:val="00EF628C"/>
    <w:rsid w:val="00EF65E6"/>
    <w:rsid w:val="00F009AD"/>
    <w:rsid w:val="00F06C56"/>
    <w:rsid w:val="00F2208D"/>
    <w:rsid w:val="00F24085"/>
    <w:rsid w:val="00F313CC"/>
    <w:rsid w:val="00F31BFE"/>
    <w:rsid w:val="00F3373E"/>
    <w:rsid w:val="00F46180"/>
    <w:rsid w:val="00F60423"/>
    <w:rsid w:val="00F62990"/>
    <w:rsid w:val="00F673DB"/>
    <w:rsid w:val="00F768AB"/>
    <w:rsid w:val="00F87B5E"/>
    <w:rsid w:val="00F936D0"/>
    <w:rsid w:val="00F97085"/>
    <w:rsid w:val="00FA6A47"/>
    <w:rsid w:val="00FA7092"/>
    <w:rsid w:val="00FB1416"/>
    <w:rsid w:val="00FB6425"/>
    <w:rsid w:val="00FC14BC"/>
    <w:rsid w:val="00FC568B"/>
    <w:rsid w:val="00FD384D"/>
    <w:rsid w:val="00FD6B00"/>
    <w:rsid w:val="00FD74CD"/>
    <w:rsid w:val="00FE11A3"/>
    <w:rsid w:val="00FE17C3"/>
    <w:rsid w:val="00FE68B4"/>
    <w:rsid w:val="00FF1E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22168FDE-2188-4E84-9130-F45249559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1575"/>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uiPriority w:val="99"/>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rPr>
      <w:rFonts w:ascii="Arial" w:hAnsi="Arial" w:cs="Arial"/>
      <w:color w:val="FF0000"/>
    </w:rPr>
  </w:style>
  <w:style w:type="paragraph" w:styleId="BalloonText">
    <w:name w:val="Balloon Text"/>
    <w:basedOn w:val="Normal"/>
    <w:semiHidden/>
    <w:rsid w:val="00ED3709"/>
    <w:rPr>
      <w:rFonts w:ascii="Tahoma" w:hAnsi="Tahoma" w:cs="Tahoma"/>
      <w:sz w:val="16"/>
      <w:szCs w:val="16"/>
    </w:rPr>
  </w:style>
  <w:style w:type="paragraph" w:styleId="DocumentMap">
    <w:name w:val="Document Map"/>
    <w:basedOn w:val="Normal"/>
    <w:semiHidden/>
    <w:rsid w:val="00ED3709"/>
    <w:pPr>
      <w:shd w:val="clear" w:color="auto" w:fill="000080"/>
    </w:pPr>
    <w:rPr>
      <w:rFonts w:ascii="Tahoma" w:hAnsi="Tahoma" w:cs="Tahoma"/>
    </w:rPr>
  </w:style>
  <w:style w:type="table" w:styleId="TableGrid">
    <w:name w:val="Table Grid"/>
    <w:basedOn w:val="TableNormal"/>
    <w:rsid w:val="009D4E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7D02D7"/>
    <w:pPr>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rsid w:val="007D02D7"/>
    <w:rPr>
      <w:rFonts w:ascii="Times" w:eastAsia="Batang" w:hAnsi="Times"/>
      <w:szCs w:val="24"/>
      <w:lang w:val="en-GB" w:eastAsia="x-none"/>
    </w:rPr>
  </w:style>
  <w:style w:type="paragraph" w:customStyle="1" w:styleId="Doc-text2">
    <w:name w:val="Doc-text2"/>
    <w:basedOn w:val="Normal"/>
    <w:link w:val="Doc-text2Char"/>
    <w:qFormat/>
    <w:rsid w:val="00C51971"/>
    <w:pPr>
      <w:tabs>
        <w:tab w:val="left" w:pos="1622"/>
      </w:tabs>
      <w:ind w:left="1622" w:hanging="363"/>
    </w:pPr>
    <w:rPr>
      <w:rFonts w:ascii="Arial" w:eastAsia="MS Mincho" w:hAnsi="Arial"/>
      <w:szCs w:val="24"/>
      <w:lang w:val="en-US" w:eastAsia="zh-TW"/>
    </w:rPr>
  </w:style>
  <w:style w:type="character" w:customStyle="1" w:styleId="Doc-text2Char">
    <w:name w:val="Doc-text2 Char"/>
    <w:link w:val="Doc-text2"/>
    <w:rsid w:val="00C51971"/>
    <w:rPr>
      <w:rFonts w:ascii="Arial" w:eastAsia="MS Mincho" w:hAnsi="Arial"/>
      <w:szCs w:val="24"/>
      <w:lang w:eastAsia="zh-TW"/>
    </w:rPr>
  </w:style>
  <w:style w:type="character" w:customStyle="1" w:styleId="BodyTextChar">
    <w:name w:val="Body Text Char"/>
    <w:link w:val="BodyText"/>
    <w:rsid w:val="00A32DC7"/>
    <w:rPr>
      <w:rFonts w:ascii="Arial" w:hAnsi="Arial" w:cs="Arial"/>
      <w:color w:val="FF0000"/>
      <w:lang w:val="en-GB" w:eastAsia="en-US"/>
    </w:rPr>
  </w:style>
  <w:style w:type="character" w:styleId="PlaceholderText">
    <w:name w:val="Placeholder Text"/>
    <w:basedOn w:val="DefaultParagraphFont"/>
    <w:uiPriority w:val="99"/>
    <w:semiHidden/>
    <w:rsid w:val="00E56574"/>
    <w:rPr>
      <w:color w:val="808080"/>
    </w:rPr>
  </w:style>
  <w:style w:type="character" w:customStyle="1" w:styleId="CommentTextChar">
    <w:name w:val="Comment Text Char"/>
    <w:link w:val="CommentText"/>
    <w:uiPriority w:val="99"/>
    <w:rsid w:val="00D1106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8066028">
      <w:bodyDiv w:val="1"/>
      <w:marLeft w:val="0"/>
      <w:marRight w:val="0"/>
      <w:marTop w:val="0"/>
      <w:marBottom w:val="0"/>
      <w:divBdr>
        <w:top w:val="none" w:sz="0" w:space="0" w:color="auto"/>
        <w:left w:val="none" w:sz="0" w:space="0" w:color="auto"/>
        <w:bottom w:val="none" w:sz="0" w:space="0" w:color="auto"/>
        <w:right w:val="none" w:sz="0" w:space="0" w:color="auto"/>
      </w:divBdr>
    </w:div>
    <w:div w:id="472331096">
      <w:bodyDiv w:val="1"/>
      <w:marLeft w:val="0"/>
      <w:marRight w:val="0"/>
      <w:marTop w:val="0"/>
      <w:marBottom w:val="0"/>
      <w:divBdr>
        <w:top w:val="none" w:sz="0" w:space="0" w:color="auto"/>
        <w:left w:val="none" w:sz="0" w:space="0" w:color="auto"/>
        <w:bottom w:val="none" w:sz="0" w:space="0" w:color="auto"/>
        <w:right w:val="none" w:sz="0" w:space="0" w:color="auto"/>
      </w:divBdr>
    </w:div>
    <w:div w:id="818691699">
      <w:bodyDiv w:val="1"/>
      <w:marLeft w:val="0"/>
      <w:marRight w:val="0"/>
      <w:marTop w:val="0"/>
      <w:marBottom w:val="0"/>
      <w:divBdr>
        <w:top w:val="none" w:sz="0" w:space="0" w:color="auto"/>
        <w:left w:val="none" w:sz="0" w:space="0" w:color="auto"/>
        <w:bottom w:val="none" w:sz="0" w:space="0" w:color="auto"/>
        <w:right w:val="none" w:sz="0" w:space="0" w:color="auto"/>
      </w:divBdr>
      <w:divsChild>
        <w:div w:id="506989243">
          <w:marLeft w:val="0"/>
          <w:marRight w:val="0"/>
          <w:marTop w:val="0"/>
          <w:marBottom w:val="0"/>
          <w:divBdr>
            <w:top w:val="none" w:sz="0" w:space="0" w:color="auto"/>
            <w:left w:val="none" w:sz="0" w:space="0" w:color="auto"/>
            <w:bottom w:val="none" w:sz="0" w:space="0" w:color="auto"/>
            <w:right w:val="none" w:sz="0" w:space="0" w:color="auto"/>
          </w:divBdr>
        </w:div>
      </w:divsChild>
    </w:div>
    <w:div w:id="1093473094">
      <w:bodyDiv w:val="1"/>
      <w:marLeft w:val="0"/>
      <w:marRight w:val="0"/>
      <w:marTop w:val="0"/>
      <w:marBottom w:val="0"/>
      <w:divBdr>
        <w:top w:val="none" w:sz="0" w:space="0" w:color="auto"/>
        <w:left w:val="none" w:sz="0" w:space="0" w:color="auto"/>
        <w:bottom w:val="none" w:sz="0" w:space="0" w:color="auto"/>
        <w:right w:val="none" w:sz="0" w:space="0" w:color="auto"/>
      </w:divBdr>
    </w:div>
    <w:div w:id="201059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56C014-F7C7-4040-9D0D-18A8C156A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4</Pages>
  <Words>1151</Words>
  <Characters>6568</Characters>
  <Application>Microsoft Office Word</Application>
  <DocSecurity>0</DocSecurity>
  <Lines>250</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vt:lpstr>
      <vt:lpstr>LS template for N3</vt:lpstr>
    </vt:vector>
  </TitlesOfParts>
  <Company>ETSI Sophia Antipolis</Company>
  <LinksUpToDate>false</LinksUpToDate>
  <CharactersWithSpaces>7646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dc:title>
  <dc:subject/>
  <dc:creator>Daewon Lee</dc:creator>
  <cp:keywords>CTPClassification=CTP_PUBLIC:VisualMarkings=, CTPClassification=CTP_NT</cp:keywords>
  <dc:description/>
  <cp:lastModifiedBy>Intel</cp:lastModifiedBy>
  <cp:revision>5</cp:revision>
  <cp:lastPrinted>2002-04-23T16:10:00Z</cp:lastPrinted>
  <dcterms:created xsi:type="dcterms:W3CDTF">2019-04-10T08:08:00Z</dcterms:created>
  <dcterms:modified xsi:type="dcterms:W3CDTF">2019-04-10T08:23:00Z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2e9bd16b-5851-442f-94d9-37912e2c49a4</vt:lpwstr>
  </property>
  <property fmtid="{D5CDD505-2E9C-101B-9397-08002B2CF9AE}" pid="3" name="CTP_TimeStamp">
    <vt:lpwstr>2019-04-10 08:23:43Z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